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b/>
          <w:sz w:val="24"/>
          <w:szCs w:val="24"/>
        </w:rPr>
      </w:pPr>
      <w:r>
        <w:rPr>
          <w:rFonts w:ascii="Arial" w:hAnsi="Arial" w:cs="Arial"/>
          <w:b/>
          <w:sz w:val="24"/>
          <w:szCs w:val="24"/>
        </w:rPr>
        <w:t>TERMO DE REFERÊNCIA</w:t>
      </w:r>
    </w:p>
    <w:p>
      <w:pPr>
        <w:jc w:val="center"/>
        <w:rPr>
          <w:rFonts w:ascii="Arial" w:hAnsi="Arial" w:cs="Arial"/>
          <w:b/>
          <w:sz w:val="24"/>
          <w:szCs w:val="24"/>
        </w:rPr>
      </w:pPr>
    </w:p>
    <w:p>
      <w:pPr>
        <w:pStyle w:val="10"/>
        <w:numPr>
          <w:ilvl w:val="0"/>
          <w:numId w:val="1"/>
        </w:numPr>
        <w:spacing w:after="0" w:line="360" w:lineRule="auto"/>
        <w:ind w:left="0"/>
        <w:rPr>
          <w:rFonts w:ascii="Arial" w:hAnsi="Arial" w:cs="Arial"/>
          <w:sz w:val="24"/>
          <w:szCs w:val="24"/>
        </w:rPr>
      </w:pPr>
      <w:r>
        <w:rPr>
          <w:rFonts w:ascii="Arial" w:hAnsi="Arial" w:cs="Arial"/>
          <w:b/>
          <w:sz w:val="24"/>
          <w:szCs w:val="24"/>
        </w:rPr>
        <w:t>OBJETO</w:t>
      </w:r>
    </w:p>
    <w:p>
      <w:pPr>
        <w:pStyle w:val="10"/>
        <w:spacing w:after="0" w:line="360" w:lineRule="auto"/>
        <w:ind w:left="0"/>
        <w:jc w:val="both"/>
        <w:rPr>
          <w:rFonts w:ascii="Arial" w:hAnsi="Arial" w:cs="Arial"/>
          <w:sz w:val="24"/>
          <w:szCs w:val="24"/>
        </w:rPr>
      </w:pPr>
      <w:r>
        <w:rPr>
          <w:rFonts w:ascii="Arial" w:hAnsi="Arial" w:eastAsia="LiberationSerif-Bold" w:cs="Arial"/>
          <w:bCs/>
          <w:sz w:val="24"/>
          <w:szCs w:val="24"/>
        </w:rPr>
        <w:t>Contratação de Empresa Especializada para Construção de Muro de Proteção de Margem no Bairro Centro e no Bairro São Luis, conforme chamamento público nº 01/2021, da Coordenadoria Estadual de Proteção e Defesa Civil.</w:t>
      </w:r>
    </w:p>
    <w:p>
      <w:pPr>
        <w:pStyle w:val="10"/>
        <w:spacing w:after="0" w:line="360" w:lineRule="auto"/>
        <w:ind w:left="0"/>
        <w:jc w:val="both"/>
        <w:rPr>
          <w:rFonts w:ascii="Arial" w:hAnsi="Arial" w:cs="Arial"/>
          <w:sz w:val="24"/>
          <w:szCs w:val="24"/>
          <w:lang w:eastAsia="pt-BR"/>
        </w:rPr>
      </w:pPr>
    </w:p>
    <w:p>
      <w:pPr>
        <w:pStyle w:val="10"/>
        <w:numPr>
          <w:ilvl w:val="0"/>
          <w:numId w:val="1"/>
        </w:numPr>
        <w:spacing w:after="0" w:line="360" w:lineRule="auto"/>
        <w:ind w:left="0" w:hanging="357"/>
        <w:jc w:val="both"/>
        <w:rPr>
          <w:rFonts w:ascii="Arial" w:hAnsi="Arial" w:cs="Arial"/>
          <w:sz w:val="24"/>
          <w:szCs w:val="24"/>
        </w:rPr>
      </w:pPr>
      <w:r>
        <w:rPr>
          <w:rFonts w:ascii="Arial" w:hAnsi="Arial" w:cs="Arial"/>
          <w:b/>
          <w:sz w:val="24"/>
          <w:szCs w:val="24"/>
        </w:rPr>
        <w:t>JUSTIFICATIVA</w:t>
      </w:r>
    </w:p>
    <w:p>
      <w:pPr>
        <w:spacing w:after="240" w:line="360" w:lineRule="auto"/>
        <w:jc w:val="both"/>
        <w:rPr>
          <w:rFonts w:ascii="Arial" w:hAnsi="Arial" w:eastAsia="LiberationSerif-Bold" w:cs="Arial"/>
          <w:bCs/>
          <w:sz w:val="24"/>
          <w:szCs w:val="24"/>
        </w:rPr>
      </w:pPr>
      <w:r>
        <w:rPr>
          <w:rFonts w:ascii="Arial" w:hAnsi="Arial" w:eastAsia="LiberationSerif-Bold" w:cs="Arial"/>
          <w:bCs/>
          <w:sz w:val="24"/>
          <w:szCs w:val="24"/>
        </w:rPr>
        <w:t>2.1 - A obra de proteção proposta para o local será imprescindível para a mitigação do processo de solapamento de margens que ocorre naquela área. A situação é agravada quando chove, vez que o carreamento de material é potencializado, aumentando, desta forma, a desagregação do solo.</w:t>
      </w:r>
    </w:p>
    <w:p>
      <w:pPr>
        <w:spacing w:after="240" w:line="360" w:lineRule="auto"/>
        <w:jc w:val="both"/>
        <w:rPr>
          <w:rFonts w:ascii="Arial" w:hAnsi="Arial" w:eastAsia="LiberationSerif-Bold" w:cs="Arial"/>
          <w:bCs/>
          <w:sz w:val="24"/>
          <w:szCs w:val="24"/>
        </w:rPr>
      </w:pPr>
      <w:r>
        <w:rPr>
          <w:rFonts w:ascii="Arial" w:hAnsi="Arial" w:eastAsia="LiberationSerif-Bold" w:cs="Arial"/>
          <w:bCs/>
          <w:sz w:val="24"/>
          <w:szCs w:val="24"/>
        </w:rPr>
        <w:t>O propósito fundamental da estabilização e proteção de margens, sob o ponto de vista hidráulico, é manter a seção do curso d’água estável e dentro dos limites estabelecidos para sua utilização.</w:t>
      </w:r>
    </w:p>
    <w:p>
      <w:pPr>
        <w:spacing w:after="240" w:line="360" w:lineRule="auto"/>
        <w:jc w:val="both"/>
        <w:rPr>
          <w:rFonts w:ascii="Arial" w:hAnsi="Arial" w:eastAsia="LiberationSerif-Bold" w:cs="Arial"/>
          <w:bCs/>
          <w:sz w:val="24"/>
          <w:szCs w:val="24"/>
        </w:rPr>
      </w:pPr>
      <w:r>
        <w:rPr>
          <w:rFonts w:ascii="Arial" w:hAnsi="Arial" w:eastAsia="LiberationSerif-Bold" w:cs="Arial"/>
          <w:bCs/>
          <w:sz w:val="24"/>
          <w:szCs w:val="24"/>
        </w:rPr>
        <w:t>Ademais, evitar a erosão das margens com perda de material dos terrenos adjacentes e melhorar o alinhamento do fluxo, manter a forma da seção transversal proteção de pistas de tráfego junto às margens, pontes, encontros e acessos, contribuindo com a estabilidade geotécnica e a proteção de estruturas, melhorando a manutenção, os aspectos visuais e paisagísticos, a limpeza e etc.</w:t>
      </w:r>
    </w:p>
    <w:p>
      <w:pPr>
        <w:spacing w:after="240" w:line="360" w:lineRule="auto"/>
        <w:jc w:val="both"/>
        <w:rPr>
          <w:rFonts w:ascii="Arial" w:hAnsi="Arial" w:eastAsia="LiberationSerif-Bold" w:cs="Arial"/>
          <w:bCs/>
          <w:sz w:val="24"/>
          <w:szCs w:val="24"/>
        </w:rPr>
      </w:pPr>
      <w:r>
        <w:rPr>
          <w:rFonts w:ascii="Arial" w:hAnsi="Arial" w:eastAsia="LiberationSerif-Bold" w:cs="Arial"/>
          <w:bCs/>
          <w:sz w:val="24"/>
          <w:szCs w:val="24"/>
        </w:rPr>
        <w:t>Considerando que as obras garantirão segurança à população, frisamos que a necessidade da realização da obra é total interesse da Administração, representando, por conseguinte o interesse público local.</w:t>
      </w:r>
    </w:p>
    <w:p>
      <w:pPr>
        <w:spacing w:after="240" w:line="360" w:lineRule="auto"/>
        <w:jc w:val="both"/>
        <w:rPr>
          <w:rFonts w:ascii="Arial" w:hAnsi="Arial" w:eastAsia="LiberationSerif-Bold" w:cs="Arial"/>
          <w:bCs/>
          <w:sz w:val="24"/>
          <w:szCs w:val="24"/>
        </w:rPr>
      </w:pPr>
    </w:p>
    <w:p>
      <w:pPr>
        <w:spacing w:after="0" w:line="360" w:lineRule="auto"/>
        <w:jc w:val="both"/>
        <w:rPr>
          <w:rFonts w:ascii="Arial" w:hAnsi="Arial" w:cs="Arial"/>
          <w:sz w:val="24"/>
          <w:szCs w:val="24"/>
          <w:lang w:eastAsia="pt-BR"/>
        </w:rPr>
      </w:pPr>
      <w:r>
        <w:rPr>
          <w:rFonts w:ascii="Arial" w:hAnsi="Arial" w:cs="Arial"/>
          <w:sz w:val="24"/>
          <w:szCs w:val="24"/>
          <w:lang w:eastAsia="pt-BR"/>
        </w:rPr>
        <w:t>2.2 - Esta contratação tem como premissa fornecer os elementos necessários à implantação das obras de proteção de margem dos trechos abaixo.</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p>
    <w:tbl>
      <w:tblPr>
        <w:tblStyle w:val="3"/>
        <w:tblW w:w="8723" w:type="dxa"/>
        <w:jc w:val="center"/>
        <w:tblLayout w:type="autofit"/>
        <w:tblCellMar>
          <w:top w:w="0" w:type="dxa"/>
          <w:left w:w="10" w:type="dxa"/>
          <w:bottom w:w="0" w:type="dxa"/>
          <w:right w:w="10" w:type="dxa"/>
        </w:tblCellMar>
      </w:tblPr>
      <w:tblGrid>
        <w:gridCol w:w="358"/>
        <w:gridCol w:w="3045"/>
        <w:gridCol w:w="1695"/>
        <w:gridCol w:w="1498"/>
        <w:gridCol w:w="2127"/>
      </w:tblGrid>
      <w:tr>
        <w:tblPrEx>
          <w:tblCellMar>
            <w:top w:w="0" w:type="dxa"/>
            <w:left w:w="10" w:type="dxa"/>
            <w:bottom w:w="0" w:type="dxa"/>
            <w:right w:w="10" w:type="dxa"/>
          </w:tblCellMar>
        </w:tblPrEx>
        <w:trPr>
          <w:trHeight w:val="300" w:hRule="atLeast"/>
          <w:jc w:val="center"/>
        </w:trPr>
        <w:tc>
          <w:tcPr>
            <w:tcW w:w="3403"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pPr>
              <w:jc w:val="center"/>
              <w:rPr>
                <w:rFonts w:ascii="Arial" w:hAnsi="Arial" w:cs="Arial"/>
                <w:b/>
                <w:bCs/>
                <w:sz w:val="20"/>
              </w:rPr>
            </w:pPr>
            <w:r>
              <w:rPr>
                <w:rFonts w:ascii="Arial" w:hAnsi="Arial" w:cs="Arial"/>
                <w:b/>
                <w:bCs/>
                <w:sz w:val="20"/>
              </w:rPr>
              <w:t>Meta</w:t>
            </w:r>
          </w:p>
        </w:tc>
        <w:tc>
          <w:tcPr>
            <w:tcW w:w="1695" w:type="dxa"/>
            <w:vMerge w:val="restart"/>
            <w:tcBorders>
              <w:top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pPr>
              <w:jc w:val="center"/>
              <w:rPr>
                <w:rFonts w:ascii="Arial" w:hAnsi="Arial" w:cs="Arial"/>
                <w:b/>
                <w:bCs/>
                <w:sz w:val="20"/>
              </w:rPr>
            </w:pPr>
            <w:r>
              <w:rPr>
                <w:rFonts w:ascii="Arial" w:hAnsi="Arial" w:cs="Arial"/>
                <w:b/>
                <w:bCs/>
                <w:sz w:val="20"/>
              </w:rPr>
              <w:t xml:space="preserve">Localização (lat/long) </w:t>
            </w:r>
          </w:p>
          <w:p>
            <w:pPr>
              <w:jc w:val="center"/>
              <w:rPr>
                <w:rFonts w:ascii="Arial" w:hAnsi="Arial" w:cs="Arial"/>
                <w:b/>
                <w:bCs/>
                <w:sz w:val="20"/>
              </w:rPr>
            </w:pPr>
            <w:r>
              <w:rPr>
                <w:rFonts w:ascii="Arial" w:hAnsi="Arial" w:cs="Arial"/>
                <w:b/>
                <w:bCs/>
                <w:sz w:val="20"/>
              </w:rPr>
              <w:t>UTM 24K</w:t>
            </w:r>
          </w:p>
        </w:tc>
        <w:tc>
          <w:tcPr>
            <w:tcW w:w="1498" w:type="dxa"/>
            <w:vMerge w:val="restart"/>
            <w:tcBorders>
              <w:top w:val="single" w:color="000000" w:sz="4" w:space="0"/>
              <w:left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ascii="Arial" w:hAnsi="Arial" w:cs="Arial"/>
                <w:b/>
                <w:bCs/>
                <w:sz w:val="20"/>
              </w:rPr>
            </w:pPr>
            <w:r>
              <w:rPr>
                <w:rFonts w:ascii="Arial" w:hAnsi="Arial" w:cs="Arial"/>
                <w:b/>
                <w:bCs/>
                <w:sz w:val="20"/>
              </w:rPr>
              <w:t>Dimensões</w:t>
            </w:r>
          </w:p>
        </w:tc>
        <w:tc>
          <w:tcPr>
            <w:tcW w:w="2127" w:type="dxa"/>
            <w:vMerge w:val="restart"/>
            <w:tcBorders>
              <w:top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ascii="Arial" w:hAnsi="Arial" w:cs="Arial"/>
                <w:b/>
                <w:bCs/>
                <w:sz w:val="20"/>
              </w:rPr>
            </w:pPr>
            <w:r>
              <w:rPr>
                <w:rFonts w:ascii="Arial" w:hAnsi="Arial" w:cs="Arial"/>
                <w:b/>
                <w:bCs/>
                <w:sz w:val="20"/>
              </w:rPr>
              <w:t>Custo (R$)</w:t>
            </w:r>
          </w:p>
        </w:tc>
      </w:tr>
      <w:tr>
        <w:tblPrEx>
          <w:tblCellMar>
            <w:top w:w="0" w:type="dxa"/>
            <w:left w:w="10" w:type="dxa"/>
            <w:bottom w:w="0" w:type="dxa"/>
            <w:right w:w="10" w:type="dxa"/>
          </w:tblCellMar>
        </w:tblPrEx>
        <w:trPr>
          <w:trHeight w:val="300" w:hRule="atLeast"/>
          <w:jc w:val="center"/>
        </w:trPr>
        <w:tc>
          <w:tcPr>
            <w:tcW w:w="358"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pPr>
              <w:jc w:val="center"/>
              <w:rPr>
                <w:rFonts w:ascii="Arial" w:hAnsi="Arial" w:cs="Arial"/>
                <w:b/>
                <w:bCs/>
                <w:sz w:val="20"/>
              </w:rPr>
            </w:pPr>
            <w:r>
              <w:rPr>
                <w:rFonts w:ascii="Arial" w:hAnsi="Arial" w:cs="Arial"/>
                <w:b/>
                <w:bCs/>
                <w:sz w:val="20"/>
              </w:rPr>
              <w:t>Nº</w:t>
            </w:r>
          </w:p>
        </w:tc>
        <w:tc>
          <w:tcPr>
            <w:tcW w:w="304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ascii="Arial" w:hAnsi="Arial" w:cs="Arial"/>
                <w:b/>
                <w:bCs/>
                <w:sz w:val="20"/>
              </w:rPr>
            </w:pPr>
            <w:r>
              <w:rPr>
                <w:rFonts w:ascii="Arial" w:hAnsi="Arial" w:cs="Arial"/>
                <w:b/>
                <w:bCs/>
                <w:sz w:val="20"/>
              </w:rPr>
              <w:t>Descrição*</w:t>
            </w:r>
          </w:p>
        </w:tc>
        <w:tc>
          <w:tcPr>
            <w:tcW w:w="1695" w:type="dxa"/>
            <w:vMerge w:val="continue"/>
            <w:tcBorders>
              <w:top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pPr>
              <w:jc w:val="center"/>
              <w:rPr>
                <w:rFonts w:ascii="Arial" w:hAnsi="Arial" w:cs="Arial"/>
                <w:sz w:val="20"/>
              </w:rPr>
            </w:pPr>
          </w:p>
        </w:tc>
        <w:tc>
          <w:tcPr>
            <w:tcW w:w="1498" w:type="dxa"/>
            <w:vMerge w:val="continue"/>
            <w:tcBorders>
              <w:left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ascii="Arial" w:hAnsi="Arial" w:cs="Arial"/>
                <w:b/>
                <w:bCs/>
                <w:sz w:val="20"/>
              </w:rPr>
            </w:pPr>
          </w:p>
        </w:tc>
        <w:tc>
          <w:tcPr>
            <w:tcW w:w="2127" w:type="dxa"/>
            <w:vMerge w:val="continue"/>
            <w:tcBorders>
              <w:top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ascii="Arial" w:hAnsi="Arial" w:cs="Arial"/>
                <w:b/>
                <w:bCs/>
                <w:sz w:val="20"/>
              </w:rPr>
            </w:pPr>
          </w:p>
        </w:tc>
      </w:tr>
      <w:tr>
        <w:tblPrEx>
          <w:tblCellMar>
            <w:top w:w="0" w:type="dxa"/>
            <w:left w:w="10" w:type="dxa"/>
            <w:bottom w:w="0" w:type="dxa"/>
            <w:right w:w="10" w:type="dxa"/>
          </w:tblCellMar>
        </w:tblPrEx>
        <w:trPr>
          <w:trHeight w:val="300" w:hRule="atLeast"/>
          <w:jc w:val="center"/>
        </w:trPr>
        <w:tc>
          <w:tcPr>
            <w:tcW w:w="358"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pPr>
              <w:jc w:val="center"/>
              <w:rPr>
                <w:rFonts w:ascii="Arial" w:hAnsi="Arial" w:cs="Arial"/>
                <w:b/>
                <w:bCs/>
                <w:sz w:val="20"/>
              </w:rPr>
            </w:pPr>
            <w:r>
              <w:rPr>
                <w:rFonts w:ascii="Arial" w:hAnsi="Arial" w:cs="Arial"/>
                <w:b/>
                <w:bCs/>
                <w:sz w:val="20"/>
              </w:rPr>
              <w:t>1</w:t>
            </w:r>
          </w:p>
        </w:tc>
        <w:tc>
          <w:tcPr>
            <w:tcW w:w="304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r>
              <w:rPr>
                <w:rFonts w:ascii="Arial" w:hAnsi="Arial"/>
                <w:bCs/>
                <w:sz w:val="20"/>
              </w:rPr>
              <w:t>Construção de Muro de Proteção de Margem no Bairro São Luís, Município de Santa Maria de Jetibá-ES</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pPr>
              <w:jc w:val="center"/>
              <w:rPr>
                <w:rFonts w:ascii="Arial" w:hAnsi="Arial" w:cs="Arial"/>
                <w:sz w:val="20"/>
              </w:rPr>
            </w:pPr>
            <w:r>
              <w:rPr>
                <w:rFonts w:ascii="Arial" w:hAnsi="Arial" w:cs="Arial"/>
                <w:sz w:val="20"/>
              </w:rPr>
              <w:t>317994.00 mE</w:t>
            </w:r>
          </w:p>
          <w:p>
            <w:pPr>
              <w:jc w:val="center"/>
              <w:rPr>
                <w:rFonts w:ascii="Arial" w:hAnsi="Arial" w:cs="Arial"/>
                <w:sz w:val="20"/>
              </w:rPr>
            </w:pPr>
            <w:r>
              <w:rPr>
                <w:rFonts w:ascii="Arial" w:hAnsi="Arial" w:cs="Arial"/>
                <w:sz w:val="20"/>
              </w:rPr>
              <w:t>7787199.00 mS</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ascii="Arial" w:hAnsi="Arial" w:cs="Arial"/>
                <w:sz w:val="20"/>
              </w:rPr>
            </w:pPr>
            <w:r>
              <w:rPr>
                <w:rFonts w:ascii="Arial" w:hAnsi="Arial" w:cs="Arial"/>
                <w:sz w:val="20"/>
              </w:rPr>
              <w:t>1.050,00 m²</w:t>
            </w:r>
          </w:p>
        </w:tc>
        <w:tc>
          <w:tcPr>
            <w:tcW w:w="2127"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hint="default" w:ascii="Arial" w:hAnsi="Arial" w:cs="Arial"/>
                <w:sz w:val="20"/>
                <w:lang w:val="pt-BR"/>
              </w:rPr>
            </w:pPr>
            <w:r>
              <w:rPr>
                <w:rFonts w:ascii="Arial" w:hAnsi="Arial" w:cs="Arial"/>
                <w:sz w:val="20"/>
              </w:rPr>
              <w:t xml:space="preserve">R$ </w:t>
            </w:r>
            <w:r>
              <w:rPr>
                <w:rFonts w:hint="default" w:ascii="Arial" w:hAnsi="Arial" w:cs="Arial"/>
                <w:sz w:val="20"/>
                <w:lang w:val="pt-BR"/>
              </w:rPr>
              <w:t>477</w:t>
            </w:r>
            <w:r>
              <w:rPr>
                <w:rFonts w:ascii="Arial" w:hAnsi="Arial" w:cs="Arial"/>
                <w:sz w:val="20"/>
              </w:rPr>
              <w:t>.</w:t>
            </w:r>
            <w:r>
              <w:rPr>
                <w:rFonts w:hint="default" w:ascii="Arial" w:hAnsi="Arial" w:cs="Arial"/>
                <w:sz w:val="20"/>
                <w:lang w:val="pt-BR"/>
              </w:rPr>
              <w:t>445</w:t>
            </w:r>
            <w:r>
              <w:rPr>
                <w:rFonts w:ascii="Arial" w:hAnsi="Arial" w:cs="Arial"/>
                <w:sz w:val="20"/>
              </w:rPr>
              <w:t>,</w:t>
            </w:r>
            <w:r>
              <w:rPr>
                <w:rFonts w:hint="default" w:ascii="Arial" w:hAnsi="Arial" w:cs="Arial"/>
                <w:sz w:val="20"/>
                <w:lang w:val="pt-BR"/>
              </w:rPr>
              <w:t>67</w:t>
            </w:r>
          </w:p>
        </w:tc>
      </w:tr>
      <w:tr>
        <w:tblPrEx>
          <w:tblCellMar>
            <w:top w:w="0" w:type="dxa"/>
            <w:left w:w="10" w:type="dxa"/>
            <w:bottom w:w="0" w:type="dxa"/>
            <w:right w:w="10" w:type="dxa"/>
          </w:tblCellMar>
        </w:tblPrEx>
        <w:trPr>
          <w:trHeight w:val="300" w:hRule="atLeast"/>
          <w:jc w:val="center"/>
        </w:trPr>
        <w:tc>
          <w:tcPr>
            <w:tcW w:w="358"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pPr>
              <w:jc w:val="center"/>
              <w:rPr>
                <w:rFonts w:ascii="Arial" w:hAnsi="Arial" w:cs="Arial"/>
                <w:b/>
                <w:bCs/>
                <w:sz w:val="20"/>
              </w:rPr>
            </w:pPr>
            <w:r>
              <w:rPr>
                <w:rFonts w:ascii="Arial" w:hAnsi="Arial" w:cs="Arial"/>
                <w:b/>
                <w:bCs/>
                <w:sz w:val="20"/>
              </w:rPr>
              <w:t>2</w:t>
            </w:r>
          </w:p>
        </w:tc>
        <w:tc>
          <w:tcPr>
            <w:tcW w:w="304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rPr>
                <w:rFonts w:ascii="Arial" w:hAnsi="Arial" w:cs="Arial"/>
                <w:sz w:val="20"/>
              </w:rPr>
            </w:pPr>
            <w:r>
              <w:rPr>
                <w:rFonts w:ascii="Arial" w:hAnsi="Arial"/>
                <w:bCs/>
                <w:sz w:val="20"/>
              </w:rPr>
              <w:t>Construção de Muro de Proteção de Margem no Bairro Cento, Município de Santa Maria de Jetibá-ES</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pPr>
              <w:jc w:val="center"/>
              <w:rPr>
                <w:rFonts w:ascii="Arial" w:hAnsi="Arial" w:cs="Arial"/>
                <w:sz w:val="20"/>
              </w:rPr>
            </w:pPr>
            <w:r>
              <w:rPr>
                <w:rFonts w:ascii="Arial" w:hAnsi="Arial" w:cs="Arial"/>
                <w:sz w:val="20"/>
              </w:rPr>
              <w:t>317801.00 m E</w:t>
            </w:r>
          </w:p>
          <w:p>
            <w:pPr>
              <w:jc w:val="center"/>
              <w:rPr>
                <w:rFonts w:ascii="Arial" w:hAnsi="Arial" w:cs="Arial"/>
                <w:sz w:val="20"/>
              </w:rPr>
            </w:pPr>
            <w:r>
              <w:rPr>
                <w:rFonts w:ascii="Arial" w:hAnsi="Arial" w:cs="Arial"/>
                <w:sz w:val="20"/>
              </w:rPr>
              <w:t>7784345.00 m S</w:t>
            </w:r>
          </w:p>
        </w:tc>
        <w:tc>
          <w:tcPr>
            <w:tcW w:w="149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ascii="Arial" w:hAnsi="Arial" w:cs="Arial"/>
                <w:sz w:val="20"/>
              </w:rPr>
            </w:pPr>
            <w:r>
              <w:rPr>
                <w:rFonts w:ascii="Arial" w:hAnsi="Arial" w:cs="Arial"/>
                <w:sz w:val="20"/>
              </w:rPr>
              <w:t>492,00 m²</w:t>
            </w:r>
          </w:p>
        </w:tc>
        <w:tc>
          <w:tcPr>
            <w:tcW w:w="2127"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hint="default" w:ascii="Arial" w:hAnsi="Arial" w:cs="Arial"/>
                <w:sz w:val="20"/>
                <w:lang w:val="pt-BR"/>
              </w:rPr>
            </w:pPr>
            <w:r>
              <w:rPr>
                <w:rFonts w:ascii="Arial" w:hAnsi="Arial" w:cs="Arial"/>
                <w:sz w:val="20"/>
              </w:rPr>
              <w:t xml:space="preserve">R$ </w:t>
            </w:r>
            <w:r>
              <w:rPr>
                <w:rFonts w:hint="default" w:ascii="Arial" w:hAnsi="Arial" w:cs="Arial"/>
                <w:sz w:val="20"/>
                <w:lang w:val="pt-BR"/>
              </w:rPr>
              <w:t>234</w:t>
            </w:r>
            <w:r>
              <w:rPr>
                <w:rFonts w:ascii="Arial" w:hAnsi="Arial" w:cs="Arial"/>
                <w:sz w:val="20"/>
              </w:rPr>
              <w:t>.</w:t>
            </w:r>
            <w:r>
              <w:rPr>
                <w:rFonts w:hint="default" w:ascii="Arial" w:hAnsi="Arial" w:cs="Arial"/>
                <w:sz w:val="20"/>
                <w:lang w:val="pt-BR"/>
              </w:rPr>
              <w:t>021</w:t>
            </w:r>
            <w:r>
              <w:rPr>
                <w:rFonts w:ascii="Arial" w:hAnsi="Arial" w:cs="Arial"/>
                <w:sz w:val="20"/>
              </w:rPr>
              <w:t>,</w:t>
            </w:r>
            <w:r>
              <w:rPr>
                <w:rFonts w:hint="default" w:ascii="Arial" w:hAnsi="Arial" w:cs="Arial"/>
                <w:sz w:val="20"/>
                <w:lang w:val="pt-BR"/>
              </w:rPr>
              <w:t>75</w:t>
            </w:r>
          </w:p>
        </w:tc>
      </w:tr>
      <w:tr>
        <w:tblPrEx>
          <w:tblCellMar>
            <w:top w:w="0" w:type="dxa"/>
            <w:left w:w="10" w:type="dxa"/>
            <w:bottom w:w="0" w:type="dxa"/>
            <w:right w:w="10" w:type="dxa"/>
          </w:tblCellMar>
        </w:tblPrEx>
        <w:trPr>
          <w:trHeight w:val="300" w:hRule="atLeast"/>
          <w:jc w:val="center"/>
        </w:trPr>
        <w:tc>
          <w:tcPr>
            <w:tcW w:w="6596"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pPr>
              <w:ind w:right="212"/>
              <w:jc w:val="right"/>
              <w:rPr>
                <w:rFonts w:ascii="Arial" w:hAnsi="Arial" w:cs="Arial"/>
                <w:b/>
                <w:bCs/>
                <w:sz w:val="20"/>
              </w:rPr>
            </w:pPr>
            <w:r>
              <w:rPr>
                <w:rFonts w:ascii="Arial" w:hAnsi="Arial" w:cs="Arial"/>
                <w:b/>
                <w:bCs/>
                <w:sz w:val="20"/>
              </w:rPr>
              <w:t>Total Geral</w:t>
            </w:r>
          </w:p>
        </w:tc>
        <w:tc>
          <w:tcPr>
            <w:tcW w:w="2127"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70" w:type="dxa"/>
              <w:bottom w:w="0" w:type="dxa"/>
              <w:right w:w="70" w:type="dxa"/>
            </w:tcMar>
            <w:vAlign w:val="center"/>
          </w:tcPr>
          <w:p>
            <w:pPr>
              <w:jc w:val="center"/>
              <w:rPr>
                <w:rFonts w:hint="default" w:ascii="Arial" w:hAnsi="Arial" w:cs="Arial"/>
                <w:b/>
                <w:bCs/>
                <w:sz w:val="20"/>
                <w:lang w:val="pt-BR"/>
              </w:rPr>
            </w:pPr>
            <w:r>
              <w:rPr>
                <w:rFonts w:ascii="Arial" w:hAnsi="Arial" w:cs="Arial"/>
                <w:b/>
                <w:bCs/>
                <w:sz w:val="20"/>
              </w:rPr>
              <w:t xml:space="preserve">R$ </w:t>
            </w:r>
            <w:r>
              <w:rPr>
                <w:rFonts w:hint="default" w:ascii="Arial" w:hAnsi="Arial" w:cs="Arial"/>
                <w:b/>
                <w:bCs/>
                <w:sz w:val="20"/>
                <w:lang w:val="pt-BR"/>
              </w:rPr>
              <w:t>711</w:t>
            </w:r>
            <w:r>
              <w:rPr>
                <w:rFonts w:ascii="Arial" w:hAnsi="Arial" w:cs="Arial"/>
                <w:b/>
                <w:bCs/>
                <w:sz w:val="20"/>
              </w:rPr>
              <w:t>.</w:t>
            </w:r>
            <w:r>
              <w:rPr>
                <w:rFonts w:hint="default" w:ascii="Arial" w:hAnsi="Arial" w:cs="Arial"/>
                <w:b/>
                <w:bCs/>
                <w:sz w:val="20"/>
                <w:lang w:val="pt-BR"/>
              </w:rPr>
              <w:t>467</w:t>
            </w:r>
            <w:r>
              <w:rPr>
                <w:rFonts w:ascii="Arial" w:hAnsi="Arial" w:cs="Arial"/>
                <w:b/>
                <w:bCs/>
                <w:sz w:val="20"/>
              </w:rPr>
              <w:t>,</w:t>
            </w:r>
            <w:r>
              <w:rPr>
                <w:rFonts w:hint="default" w:ascii="Arial" w:hAnsi="Arial" w:cs="Arial"/>
                <w:b/>
                <w:bCs/>
                <w:sz w:val="20"/>
                <w:lang w:val="pt-BR"/>
              </w:rPr>
              <w:t>42</w:t>
            </w:r>
          </w:p>
        </w:tc>
      </w:tr>
    </w:tbl>
    <w:p>
      <w:pPr>
        <w:spacing w:after="0" w:line="360" w:lineRule="auto"/>
        <w:jc w:val="both"/>
        <w:rPr>
          <w:rFonts w:ascii="Arial" w:hAnsi="Arial" w:cs="Arial"/>
          <w:sz w:val="24"/>
          <w:szCs w:val="24"/>
          <w:lang w:eastAsia="pt-BR"/>
        </w:rPr>
      </w:pPr>
    </w:p>
    <w:p>
      <w:pPr>
        <w:pStyle w:val="10"/>
        <w:numPr>
          <w:ilvl w:val="0"/>
          <w:numId w:val="1"/>
        </w:numPr>
        <w:spacing w:after="0" w:line="360" w:lineRule="auto"/>
        <w:ind w:left="0" w:hanging="357"/>
        <w:jc w:val="both"/>
        <w:rPr>
          <w:rFonts w:ascii="Arial" w:hAnsi="Arial" w:cs="Arial"/>
          <w:sz w:val="24"/>
          <w:szCs w:val="24"/>
          <w:highlight w:val="none"/>
        </w:rPr>
      </w:pPr>
      <w:r>
        <w:rPr>
          <w:rFonts w:ascii="Arial" w:hAnsi="Arial" w:cs="Arial"/>
          <w:b/>
          <w:sz w:val="24"/>
          <w:szCs w:val="24"/>
          <w:highlight w:val="none"/>
        </w:rPr>
        <w:t>PRAZO DE EXECUÇÃO</w:t>
      </w:r>
    </w:p>
    <w:p>
      <w:pPr>
        <w:spacing w:after="0" w:line="360" w:lineRule="auto"/>
        <w:jc w:val="both"/>
        <w:rPr>
          <w:rFonts w:ascii="Arial" w:hAnsi="Arial" w:cs="Arial"/>
          <w:sz w:val="24"/>
          <w:szCs w:val="24"/>
        </w:rPr>
      </w:pPr>
      <w:r>
        <w:rPr>
          <w:rFonts w:ascii="Arial" w:hAnsi="Arial" w:cs="Arial"/>
          <w:sz w:val="24"/>
          <w:szCs w:val="24"/>
        </w:rPr>
        <w:t xml:space="preserve">O contrato deverá ser pactuado com prazo de </w:t>
      </w:r>
      <w:r>
        <w:rPr>
          <w:rFonts w:hint="default" w:ascii="Arial" w:hAnsi="Arial" w:cs="Arial"/>
          <w:sz w:val="24"/>
          <w:szCs w:val="24"/>
          <w:lang w:val="pt-BR"/>
        </w:rPr>
        <w:t>trezentos</w:t>
      </w:r>
      <w:r>
        <w:rPr>
          <w:rFonts w:ascii="Arial" w:hAnsi="Arial" w:cs="Arial"/>
          <w:sz w:val="24"/>
          <w:szCs w:val="24"/>
        </w:rPr>
        <w:t xml:space="preserve"> dias (</w:t>
      </w:r>
      <w:r>
        <w:rPr>
          <w:rFonts w:hint="default" w:ascii="Arial" w:hAnsi="Arial" w:cs="Arial"/>
          <w:sz w:val="24"/>
          <w:szCs w:val="24"/>
          <w:lang w:val="pt-BR"/>
        </w:rPr>
        <w:t>30</w:t>
      </w:r>
      <w:r>
        <w:rPr>
          <w:rFonts w:ascii="Arial" w:hAnsi="Arial" w:cs="Arial"/>
          <w:sz w:val="24"/>
          <w:szCs w:val="24"/>
        </w:rPr>
        <w:t xml:space="preserve">0) contados a partir de sua assinatura. </w:t>
      </w:r>
    </w:p>
    <w:p>
      <w:pPr>
        <w:spacing w:after="0" w:line="360" w:lineRule="auto"/>
        <w:jc w:val="both"/>
        <w:rPr>
          <w:rFonts w:ascii="Arial" w:hAnsi="Arial" w:cs="Arial"/>
          <w:sz w:val="24"/>
          <w:szCs w:val="24"/>
        </w:rPr>
      </w:pPr>
      <w:r>
        <w:rPr>
          <w:rFonts w:ascii="Arial" w:hAnsi="Arial" w:cs="Arial"/>
          <w:sz w:val="24"/>
          <w:szCs w:val="24"/>
        </w:rPr>
        <w:t xml:space="preserve">A execução terá prazo de até </w:t>
      </w:r>
      <w:r>
        <w:rPr>
          <w:rFonts w:hint="default" w:ascii="Arial" w:hAnsi="Arial" w:cs="Arial"/>
          <w:sz w:val="24"/>
          <w:szCs w:val="24"/>
          <w:lang w:val="pt-BR"/>
        </w:rPr>
        <w:t>duzentos e quarenta</w:t>
      </w:r>
      <w:r>
        <w:rPr>
          <w:rFonts w:ascii="Arial" w:hAnsi="Arial" w:cs="Arial"/>
          <w:sz w:val="24"/>
          <w:szCs w:val="24"/>
        </w:rPr>
        <w:t xml:space="preserve"> dias (</w:t>
      </w:r>
      <w:r>
        <w:rPr>
          <w:rFonts w:hint="default" w:ascii="Arial" w:hAnsi="Arial" w:cs="Arial"/>
          <w:sz w:val="24"/>
          <w:szCs w:val="24"/>
          <w:lang w:val="pt-BR"/>
        </w:rPr>
        <w:t>240</w:t>
      </w:r>
      <w:r>
        <w:rPr>
          <w:rFonts w:ascii="Arial" w:hAnsi="Arial" w:cs="Arial"/>
          <w:sz w:val="24"/>
          <w:szCs w:val="24"/>
        </w:rPr>
        <w:t>) contados a partir da data da assinatura da ordem de serviço, conforme cronograma em anexo, podendo ser prorrogado, nos termos da Lei 8.666/93.</w:t>
      </w:r>
    </w:p>
    <w:p>
      <w:pPr>
        <w:spacing w:after="0" w:line="360" w:lineRule="auto"/>
        <w:jc w:val="both"/>
        <w:rPr>
          <w:rFonts w:ascii="Arial" w:hAnsi="Arial" w:cs="Arial"/>
          <w:sz w:val="24"/>
          <w:szCs w:val="24"/>
        </w:rPr>
      </w:pP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rPr>
        <w:t>VALOR DOS SERVIÇOS</w:t>
      </w:r>
    </w:p>
    <w:p>
      <w:pPr>
        <w:spacing w:after="0" w:line="360" w:lineRule="auto"/>
        <w:jc w:val="both"/>
        <w:rPr>
          <w:rFonts w:ascii="Arial" w:hAnsi="Arial" w:cs="Arial"/>
          <w:sz w:val="24"/>
          <w:szCs w:val="24"/>
          <w:lang w:eastAsia="pt-BR"/>
        </w:rPr>
      </w:pPr>
      <w:r>
        <w:rPr>
          <w:rFonts w:ascii="Arial" w:hAnsi="Arial" w:cs="Arial"/>
          <w:sz w:val="24"/>
          <w:szCs w:val="24"/>
          <w:lang w:eastAsia="pt-BR"/>
        </w:rPr>
        <w:t xml:space="preserve">O valor total estimado é de </w:t>
      </w:r>
      <w:r>
        <w:rPr>
          <w:rFonts w:ascii="Arial" w:hAnsi="Arial" w:cs="Arial"/>
          <w:sz w:val="24"/>
          <w:szCs w:val="24"/>
          <w:lang w:eastAsia="zh-CN"/>
        </w:rPr>
        <w:t xml:space="preserve">R$ </w:t>
      </w:r>
      <w:r>
        <w:rPr>
          <w:rFonts w:hint="default" w:ascii="Arial" w:hAnsi="Arial" w:cs="Arial"/>
          <w:sz w:val="24"/>
          <w:szCs w:val="24"/>
          <w:lang w:val="pt-BR" w:eastAsia="zh-CN"/>
        </w:rPr>
        <w:t>711.467,42</w:t>
      </w:r>
      <w:r>
        <w:rPr>
          <w:rFonts w:ascii="Arial" w:hAnsi="Arial" w:cs="Arial"/>
          <w:sz w:val="24"/>
          <w:szCs w:val="24"/>
          <w:lang w:eastAsia="zh-CN"/>
        </w:rPr>
        <w:t xml:space="preserve"> (</w:t>
      </w:r>
      <w:r>
        <w:rPr>
          <w:rFonts w:hint="default" w:ascii="Arial" w:hAnsi="Arial" w:cs="Arial"/>
          <w:sz w:val="24"/>
          <w:szCs w:val="24"/>
          <w:lang w:val="pt-BR" w:eastAsia="zh-CN"/>
        </w:rPr>
        <w:t>Setecentos e onze mil, quatrocentos e sessenta e sete reais e quarenta  dois</w:t>
      </w:r>
      <w:r>
        <w:rPr>
          <w:rFonts w:ascii="Arial" w:hAnsi="Arial" w:cs="Arial"/>
          <w:sz w:val="24"/>
          <w:szCs w:val="24"/>
          <w:lang w:eastAsia="zh-CN"/>
        </w:rPr>
        <w:t xml:space="preserve"> centavos)</w:t>
      </w:r>
      <w:r>
        <w:rPr>
          <w:rFonts w:ascii="Arial" w:hAnsi="Arial" w:cs="Arial"/>
          <w:sz w:val="24"/>
          <w:szCs w:val="24"/>
          <w:lang w:eastAsia="pt-BR"/>
        </w:rPr>
        <w:t>, conforme indicado na Planilha Orçamentária integrante do ETP (Estudo Técnico Preliminar).</w:t>
      </w:r>
    </w:p>
    <w:p>
      <w:pPr>
        <w:spacing w:after="0" w:line="360" w:lineRule="auto"/>
        <w:jc w:val="both"/>
        <w:rPr>
          <w:rFonts w:ascii="Arial" w:hAnsi="Arial" w:cs="Arial"/>
          <w:sz w:val="24"/>
          <w:szCs w:val="24"/>
          <w:lang w:eastAsia="pt-BR"/>
        </w:rPr>
      </w:pP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rPr>
        <w:t>DA FONTE DE RECURSOS E DA DOTAÇÃO ORÇAMENTÁRIA</w:t>
      </w:r>
    </w:p>
    <w:p>
      <w:pPr>
        <w:pStyle w:val="10"/>
        <w:spacing w:after="0" w:line="360" w:lineRule="auto"/>
        <w:ind w:left="0"/>
        <w:jc w:val="both"/>
        <w:rPr>
          <w:rFonts w:ascii="Arial" w:hAnsi="Arial" w:cs="Arial"/>
          <w:sz w:val="24"/>
          <w:szCs w:val="24"/>
        </w:rPr>
      </w:pPr>
      <w:r>
        <w:rPr>
          <w:rFonts w:ascii="Arial" w:hAnsi="Arial" w:cs="Arial"/>
          <w:sz w:val="24"/>
          <w:szCs w:val="24"/>
        </w:rPr>
        <w:t>A fonte de recurso para a execução deste serviço é proveniente de recursos Repasse Fundo a Fundo.</w:t>
      </w:r>
    </w:p>
    <w:p>
      <w:pPr>
        <w:pStyle w:val="10"/>
        <w:spacing w:after="0" w:line="360" w:lineRule="auto"/>
        <w:ind w:left="0"/>
        <w:jc w:val="both"/>
        <w:rPr>
          <w:rFonts w:ascii="Arial" w:hAnsi="Arial" w:cs="Arial"/>
          <w:sz w:val="24"/>
          <w:szCs w:val="24"/>
        </w:rPr>
      </w:pPr>
      <w:r>
        <w:rPr>
          <w:rFonts w:ascii="Arial" w:hAnsi="Arial" w:cs="Arial"/>
          <w:sz w:val="24"/>
          <w:szCs w:val="24"/>
        </w:rPr>
        <w:t xml:space="preserve">  </w:t>
      </w:r>
    </w:p>
    <w:p>
      <w:pPr>
        <w:pStyle w:val="10"/>
        <w:spacing w:after="0" w:line="360" w:lineRule="auto"/>
        <w:ind w:left="0"/>
        <w:jc w:val="both"/>
        <w:rPr>
          <w:rFonts w:ascii="Arial" w:hAnsi="Arial" w:cs="Arial"/>
          <w:sz w:val="24"/>
          <w:szCs w:val="24"/>
        </w:rPr>
      </w:pPr>
      <w:r>
        <w:rPr>
          <w:rFonts w:ascii="Arial" w:hAnsi="Arial" w:cs="Arial"/>
          <w:sz w:val="24"/>
          <w:szCs w:val="24"/>
        </w:rPr>
        <w:t>Dotação orçamentária:</w:t>
      </w:r>
    </w:p>
    <w:p>
      <w:pPr>
        <w:pStyle w:val="10"/>
        <w:spacing w:after="0" w:line="360" w:lineRule="auto"/>
        <w:ind w:left="0"/>
        <w:jc w:val="both"/>
        <w:rPr>
          <w:rFonts w:ascii="Arial" w:hAnsi="Arial" w:cs="Arial"/>
          <w:sz w:val="24"/>
          <w:szCs w:val="24"/>
        </w:rPr>
      </w:pPr>
      <w:r>
        <w:rPr>
          <w:rFonts w:ascii="Arial" w:hAnsi="Arial" w:cs="Arial"/>
          <w:sz w:val="24"/>
          <w:szCs w:val="24"/>
        </w:rPr>
        <w:t>0020</w:t>
      </w:r>
      <w:r>
        <w:rPr>
          <w:rFonts w:hint="default" w:ascii="Arial" w:hAnsi="Arial" w:cs="Arial"/>
          <w:sz w:val="24"/>
          <w:szCs w:val="24"/>
          <w:lang w:val="pt-BR"/>
        </w:rPr>
        <w:t>01</w:t>
      </w:r>
      <w:r>
        <w:rPr>
          <w:rFonts w:ascii="Arial" w:hAnsi="Arial" w:cs="Arial"/>
          <w:sz w:val="24"/>
          <w:szCs w:val="24"/>
        </w:rPr>
        <w:t>.</w:t>
      </w:r>
      <w:r>
        <w:rPr>
          <w:rFonts w:hint="default" w:ascii="Arial" w:hAnsi="Arial" w:cs="Arial"/>
          <w:sz w:val="24"/>
          <w:szCs w:val="24"/>
          <w:lang w:val="pt-BR"/>
        </w:rPr>
        <w:t>0618200412.070</w:t>
      </w:r>
      <w:r>
        <w:rPr>
          <w:rFonts w:ascii="Arial" w:hAnsi="Arial" w:cs="Arial"/>
          <w:sz w:val="24"/>
          <w:szCs w:val="24"/>
        </w:rPr>
        <w:t xml:space="preserve"> – Manutenção do Fundo Municipal de Proteção e Defesa Civil - FUNMPDEC</w:t>
      </w:r>
    </w:p>
    <w:p>
      <w:pPr>
        <w:pStyle w:val="10"/>
        <w:spacing w:after="0" w:line="360" w:lineRule="auto"/>
        <w:ind w:left="0"/>
        <w:jc w:val="both"/>
        <w:rPr>
          <w:rFonts w:ascii="Arial" w:hAnsi="Arial" w:cs="Arial"/>
          <w:sz w:val="24"/>
          <w:szCs w:val="24"/>
        </w:rPr>
      </w:pPr>
      <w:r>
        <w:rPr>
          <w:rFonts w:ascii="Arial" w:hAnsi="Arial" w:cs="Arial"/>
          <w:sz w:val="24"/>
          <w:szCs w:val="24"/>
        </w:rPr>
        <w:t>Elemento: 44905100000 - Obras e instalações</w:t>
      </w:r>
    </w:p>
    <w:p>
      <w:pPr>
        <w:pStyle w:val="10"/>
        <w:spacing w:after="0" w:line="360" w:lineRule="auto"/>
        <w:ind w:left="0"/>
        <w:jc w:val="both"/>
        <w:rPr>
          <w:rFonts w:ascii="Arial" w:hAnsi="Arial" w:cs="Arial"/>
          <w:sz w:val="24"/>
          <w:szCs w:val="24"/>
          <w:highlight w:val="none"/>
        </w:rPr>
      </w:pPr>
      <w:r>
        <w:rPr>
          <w:rFonts w:ascii="Arial" w:hAnsi="Arial" w:cs="Arial"/>
          <w:sz w:val="24"/>
          <w:szCs w:val="24"/>
          <w:highlight w:val="none"/>
        </w:rPr>
        <w:t xml:space="preserve">Fonte: </w:t>
      </w:r>
      <w:r>
        <w:rPr>
          <w:rFonts w:hint="default" w:ascii="Arial" w:hAnsi="Arial" w:cs="Arial"/>
          <w:sz w:val="24"/>
          <w:szCs w:val="24"/>
          <w:highlight w:val="none"/>
          <w:lang w:val="pt-BR"/>
        </w:rPr>
        <w:t>2990</w:t>
      </w:r>
      <w:r>
        <w:rPr>
          <w:rFonts w:ascii="Arial" w:hAnsi="Arial" w:cs="Arial"/>
          <w:sz w:val="24"/>
          <w:szCs w:val="24"/>
          <w:highlight w:val="none"/>
        </w:rPr>
        <w:t>0000000</w:t>
      </w:r>
    </w:p>
    <w:p>
      <w:pPr>
        <w:pStyle w:val="10"/>
        <w:spacing w:after="0" w:line="360" w:lineRule="auto"/>
        <w:ind w:left="0"/>
        <w:jc w:val="both"/>
        <w:rPr>
          <w:rFonts w:ascii="Arial" w:hAnsi="Arial" w:cs="Arial"/>
          <w:sz w:val="24"/>
          <w:szCs w:val="24"/>
        </w:rPr>
      </w:pPr>
      <w:r>
        <w:rPr>
          <w:rFonts w:ascii="Arial" w:hAnsi="Arial" w:cs="Arial"/>
          <w:sz w:val="24"/>
          <w:szCs w:val="24"/>
        </w:rPr>
        <w:t xml:space="preserve">Ficha </w:t>
      </w:r>
      <w:r>
        <w:rPr>
          <w:rFonts w:hint="default" w:ascii="Arial" w:hAnsi="Arial" w:cs="Arial"/>
          <w:sz w:val="24"/>
          <w:szCs w:val="24"/>
          <w:lang w:val="pt-BR"/>
        </w:rPr>
        <w:t>678</w:t>
      </w:r>
      <w:r>
        <w:rPr>
          <w:rFonts w:ascii="Arial" w:hAnsi="Arial" w:cs="Arial"/>
          <w:sz w:val="24"/>
          <w:szCs w:val="24"/>
        </w:rPr>
        <w:t xml:space="preserve">                                                                                                                                                                        </w:t>
      </w:r>
    </w:p>
    <w:p>
      <w:pPr>
        <w:spacing w:after="0" w:line="360" w:lineRule="auto"/>
        <w:jc w:val="both"/>
        <w:rPr>
          <w:rFonts w:ascii="Arial" w:hAnsi="Arial" w:cs="Arial"/>
          <w:sz w:val="24"/>
          <w:szCs w:val="24"/>
        </w:rPr>
      </w:pP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rPr>
        <w:t>DA QUALIFICAÇÃO TÉCNICA</w:t>
      </w:r>
      <w:r>
        <w:t xml:space="preserve">: </w:t>
      </w:r>
    </w:p>
    <w:p>
      <w:pPr>
        <w:numPr>
          <w:ilvl w:val="0"/>
          <w:numId w:val="2"/>
        </w:numPr>
        <w:spacing w:after="0" w:line="360" w:lineRule="auto"/>
        <w:jc w:val="both"/>
        <w:rPr>
          <w:rFonts w:ascii="Arial" w:hAnsi="Arial" w:cs="Arial"/>
          <w:sz w:val="24"/>
          <w:szCs w:val="24"/>
        </w:rPr>
      </w:pPr>
      <w:r>
        <w:rPr>
          <w:rFonts w:ascii="Arial" w:hAnsi="Arial" w:cs="Arial"/>
          <w:sz w:val="24"/>
          <w:szCs w:val="24"/>
        </w:rPr>
        <w:t xml:space="preserve">– Registro ou inscrição da empresa no Conselho Regional de Engenharia, Arquitetura e Agronomia – CREA, com jurisdição sobre o domicílio da sede da licitante; </w:t>
      </w:r>
    </w:p>
    <w:p>
      <w:pPr>
        <w:spacing w:after="0" w:line="360" w:lineRule="auto"/>
        <w:jc w:val="both"/>
        <w:rPr>
          <w:rFonts w:ascii="Arial" w:hAnsi="Arial" w:cs="Arial"/>
          <w:sz w:val="24"/>
          <w:szCs w:val="24"/>
        </w:rPr>
      </w:pPr>
    </w:p>
    <w:p>
      <w:pPr>
        <w:numPr>
          <w:ilvl w:val="0"/>
          <w:numId w:val="2"/>
        </w:numPr>
        <w:spacing w:after="0" w:line="360" w:lineRule="auto"/>
        <w:jc w:val="both"/>
        <w:rPr>
          <w:rFonts w:ascii="Arial" w:hAnsi="Arial" w:cs="Arial"/>
          <w:sz w:val="24"/>
          <w:szCs w:val="24"/>
        </w:rPr>
      </w:pPr>
      <w:r>
        <w:rPr>
          <w:rFonts w:ascii="Arial" w:hAnsi="Arial" w:cs="Arial"/>
          <w:sz w:val="24"/>
          <w:szCs w:val="24"/>
        </w:rPr>
        <w:t>– Comprovante de regularidade fiscal e trabalhista</w:t>
      </w:r>
    </w:p>
    <w:p>
      <w:pPr>
        <w:spacing w:after="0" w:line="360" w:lineRule="auto"/>
        <w:jc w:val="both"/>
        <w:rPr>
          <w:rFonts w:ascii="Arial" w:hAnsi="Arial" w:cs="Arial"/>
          <w:sz w:val="24"/>
          <w:szCs w:val="24"/>
        </w:rPr>
      </w:pPr>
    </w:p>
    <w:p>
      <w:pPr>
        <w:numPr>
          <w:ilvl w:val="0"/>
          <w:numId w:val="2"/>
        </w:numPr>
        <w:spacing w:after="0" w:line="360" w:lineRule="auto"/>
        <w:jc w:val="both"/>
        <w:rPr>
          <w:rFonts w:ascii="Arial" w:hAnsi="Arial" w:cs="Arial"/>
          <w:sz w:val="24"/>
          <w:szCs w:val="24"/>
        </w:rPr>
      </w:pPr>
      <w:r>
        <w:rPr>
          <w:rFonts w:ascii="Arial" w:hAnsi="Arial" w:cs="Arial"/>
          <w:sz w:val="24"/>
          <w:szCs w:val="24"/>
        </w:rPr>
        <w:t>– Capacitação técnico-profissional:</w:t>
      </w:r>
    </w:p>
    <w:p>
      <w:pPr>
        <w:spacing w:after="0" w:line="360" w:lineRule="auto"/>
        <w:jc w:val="both"/>
        <w:rPr>
          <w:rFonts w:ascii="Arial" w:hAnsi="Arial" w:cs="Arial"/>
          <w:sz w:val="24"/>
          <w:szCs w:val="24"/>
        </w:rPr>
      </w:pPr>
    </w:p>
    <w:p>
      <w:pPr>
        <w:spacing w:after="0" w:line="360" w:lineRule="auto"/>
        <w:jc w:val="both"/>
        <w:rPr>
          <w:rFonts w:ascii="Arial" w:hAnsi="Arial" w:cs="Arial"/>
          <w:sz w:val="24"/>
          <w:szCs w:val="24"/>
        </w:rPr>
      </w:pPr>
      <w:r>
        <w:rPr>
          <w:rFonts w:ascii="Arial" w:hAnsi="Arial" w:cs="Arial"/>
          <w:sz w:val="24"/>
          <w:szCs w:val="24"/>
        </w:rPr>
        <w:t xml:space="preserve">c.1) Registro ou Inscrição do responsável técnico indicado no Conselho Regional de Engenharia, Agronomia e Arquitetura – CREA da região da sede da empresa ou outra entidade profissional competente do profissional de nível superior. </w:t>
      </w:r>
    </w:p>
    <w:p>
      <w:pPr>
        <w:spacing w:after="0" w:line="360" w:lineRule="auto"/>
        <w:jc w:val="both"/>
        <w:rPr>
          <w:rFonts w:ascii="Arial" w:hAnsi="Arial" w:cs="Arial"/>
          <w:sz w:val="24"/>
          <w:szCs w:val="24"/>
        </w:rPr>
      </w:pPr>
    </w:p>
    <w:p>
      <w:pPr>
        <w:spacing w:after="0" w:line="360" w:lineRule="auto"/>
        <w:jc w:val="both"/>
        <w:rPr>
          <w:rFonts w:ascii="Arial" w:hAnsi="Arial" w:cs="Arial"/>
          <w:sz w:val="24"/>
          <w:szCs w:val="24"/>
        </w:rPr>
      </w:pPr>
      <w:r>
        <w:rPr>
          <w:rFonts w:ascii="Arial" w:hAnsi="Arial" w:cs="Arial"/>
          <w:sz w:val="24"/>
          <w:szCs w:val="24"/>
        </w:rPr>
        <w:t>c.2) Comprovação de que o licitante possui em seu quadro, profissional devidamente reconhecido pelo CREA, de nível superior, e que seja detentor de no mínimo 1 (uma) Certidão de Acervo Técnico por execução de serviços/obras de características semelhantes deste Edital, qua</w:t>
      </w:r>
      <w:r>
        <w:rPr>
          <w:rFonts w:hint="default" w:ascii="Arial" w:hAnsi="Arial" w:cs="Arial"/>
          <w:sz w:val="24"/>
          <w:szCs w:val="24"/>
          <w:lang w:val="pt-BR"/>
        </w:rPr>
        <w:t>l</w:t>
      </w:r>
      <w:r>
        <w:rPr>
          <w:rFonts w:ascii="Arial" w:hAnsi="Arial" w:cs="Arial"/>
          <w:sz w:val="24"/>
          <w:szCs w:val="24"/>
        </w:rPr>
        <w:t xml:space="preserve"> seja:</w:t>
      </w:r>
    </w:p>
    <w:p>
      <w:pPr>
        <w:spacing w:after="0" w:line="360" w:lineRule="auto"/>
        <w:jc w:val="both"/>
        <w:rPr>
          <w:rFonts w:ascii="Arial" w:hAnsi="Arial" w:cs="Arial"/>
          <w:sz w:val="24"/>
          <w:szCs w:val="24"/>
        </w:rPr>
      </w:pPr>
    </w:p>
    <w:tbl>
      <w:tblPr>
        <w:tblStyle w:val="3"/>
        <w:tblW w:w="8140" w:type="dxa"/>
        <w:tblInd w:w="93" w:type="dxa"/>
        <w:tblLayout w:type="autofit"/>
        <w:tblCellMar>
          <w:top w:w="0" w:type="dxa"/>
          <w:left w:w="108" w:type="dxa"/>
          <w:bottom w:w="0" w:type="dxa"/>
          <w:right w:w="108" w:type="dxa"/>
        </w:tblCellMar>
      </w:tblPr>
      <w:tblGrid>
        <w:gridCol w:w="8140"/>
      </w:tblGrid>
      <w:tr>
        <w:tblPrEx>
          <w:tblCellMar>
            <w:top w:w="0" w:type="dxa"/>
            <w:left w:w="108" w:type="dxa"/>
            <w:bottom w:w="0" w:type="dxa"/>
            <w:right w:w="108" w:type="dxa"/>
          </w:tblCellMar>
        </w:tblPrEx>
        <w:trPr>
          <w:trHeight w:val="623" w:hRule="atLeast"/>
        </w:trPr>
        <w:tc>
          <w:tcPr>
            <w:tcW w:w="8140" w:type="dxa"/>
            <w:tcBorders>
              <w:top w:val="single" w:color="000000" w:sz="8" w:space="0"/>
              <w:left w:val="single" w:color="000000" w:sz="2" w:space="0"/>
              <w:bottom w:val="single" w:color="000000" w:sz="2" w:space="0"/>
              <w:right w:val="single" w:color="000000" w:sz="2" w:space="0"/>
            </w:tcBorders>
            <w:shd w:val="clear" w:color="auto" w:fill="auto"/>
            <w:vAlign w:val="center"/>
          </w:tcPr>
          <w:p>
            <w:pPr>
              <w:textAlignment w:val="center"/>
              <w:rPr>
                <w:rFonts w:ascii="Arial" w:hAnsi="Arial" w:cs="Arial"/>
                <w:color w:val="000000"/>
                <w:highlight w:val="yellow"/>
              </w:rPr>
            </w:pPr>
            <w:r>
              <w:rPr>
                <w:rFonts w:ascii="Arial" w:hAnsi="Arial" w:eastAsia="SimSun" w:cs="Arial"/>
                <w:color w:val="000000"/>
                <w:sz w:val="24"/>
                <w:szCs w:val="24"/>
                <w:highlight w:val="none"/>
                <w:lang w:eastAsia="zh-CN" w:bidi="ar"/>
              </w:rPr>
              <w:t xml:space="preserve">Muro de arrimo de </w:t>
            </w:r>
            <w:r>
              <w:rPr>
                <w:rFonts w:hint="default" w:ascii="Arial" w:hAnsi="Arial" w:eastAsia="SimSun" w:cs="Arial"/>
                <w:b/>
                <w:bCs/>
                <w:i/>
                <w:iCs/>
                <w:color w:val="000000"/>
                <w:sz w:val="24"/>
                <w:szCs w:val="24"/>
                <w:highlight w:val="none"/>
                <w:lang w:val="pt-BR" w:eastAsia="zh-CN" w:bidi="ar"/>
              </w:rPr>
              <w:t>gabião</w:t>
            </w:r>
            <w:r>
              <w:rPr>
                <w:rFonts w:ascii="Arial" w:hAnsi="Arial" w:eastAsia="SimSun" w:cs="Arial"/>
                <w:color w:val="000000"/>
                <w:sz w:val="24"/>
                <w:szCs w:val="24"/>
                <w:highlight w:val="none"/>
                <w:lang w:eastAsia="zh-CN" w:bidi="ar"/>
              </w:rPr>
              <w:t>.</w:t>
            </w:r>
          </w:p>
        </w:tc>
      </w:tr>
    </w:tbl>
    <w:p>
      <w:pPr>
        <w:spacing w:after="0" w:line="360" w:lineRule="auto"/>
        <w:jc w:val="both"/>
        <w:rPr>
          <w:rFonts w:ascii="Arial" w:hAnsi="Arial" w:cs="Arial"/>
          <w:sz w:val="24"/>
          <w:szCs w:val="24"/>
        </w:rPr>
      </w:pPr>
    </w:p>
    <w:p>
      <w:pPr>
        <w:spacing w:after="0" w:line="360" w:lineRule="auto"/>
        <w:jc w:val="both"/>
        <w:rPr>
          <w:rFonts w:ascii="Arial" w:hAnsi="Arial" w:cs="Arial"/>
          <w:sz w:val="24"/>
          <w:szCs w:val="24"/>
        </w:rPr>
      </w:pPr>
      <w:r>
        <w:rPr>
          <w:rFonts w:ascii="Arial" w:hAnsi="Arial" w:cs="Arial"/>
          <w:sz w:val="24"/>
          <w:szCs w:val="24"/>
        </w:rPr>
        <w:t xml:space="preserve">c.3) O responsável técnico indicado poderá ocupar a posição de diretor, sócio ou integrar o quadro permanente do licitante na condição de empregado ou de prestador de serviços, devendo ser comprovada sua vinculação com o licitante, até a data da apresentação dos documentos de habilitação, por meio de carteira de trabalho e previdência social (CTPS), contrato de prestação de serviços, ficha de registro de empregado ou contrato social, conforme o caso. </w:t>
      </w:r>
    </w:p>
    <w:p>
      <w:pPr>
        <w:spacing w:after="0" w:line="360" w:lineRule="auto"/>
        <w:jc w:val="both"/>
        <w:rPr>
          <w:rFonts w:ascii="Arial" w:hAnsi="Arial" w:cs="Arial"/>
          <w:sz w:val="24"/>
          <w:szCs w:val="24"/>
        </w:rPr>
      </w:pPr>
    </w:p>
    <w:p>
      <w:pPr>
        <w:spacing w:after="0" w:line="360" w:lineRule="auto"/>
        <w:jc w:val="both"/>
        <w:rPr>
          <w:rFonts w:ascii="Arial" w:hAnsi="Arial" w:cs="Arial"/>
          <w:sz w:val="24"/>
          <w:szCs w:val="24"/>
        </w:rPr>
      </w:pPr>
      <w:r>
        <w:rPr>
          <w:rFonts w:ascii="Arial" w:hAnsi="Arial" w:cs="Arial"/>
          <w:sz w:val="24"/>
          <w:szCs w:val="24"/>
        </w:rPr>
        <w:t>c.4) O profissional indicado pelo licitante para fins de comprovação da capacidade técnica-profissional deverá acompanhar a execução dos serviços, admitindo-se sua substituição por profissionais de experiência equivalente ou superior, desde que aprovada pela Administração. Para essa substituição, a qualificação técnica do profissional substituto deverá atender as mesmas exigências deste Edital.</w:t>
      </w:r>
    </w:p>
    <w:p>
      <w:pPr>
        <w:spacing w:after="0" w:line="360" w:lineRule="auto"/>
        <w:jc w:val="both"/>
        <w:rPr>
          <w:rFonts w:ascii="Arial" w:hAnsi="Arial" w:cs="Arial"/>
          <w:sz w:val="24"/>
          <w:szCs w:val="24"/>
        </w:rPr>
      </w:pPr>
      <w:r>
        <w:rPr>
          <w:rFonts w:ascii="Arial" w:hAnsi="Arial" w:cs="Arial"/>
          <w:sz w:val="24"/>
          <w:szCs w:val="24"/>
        </w:rPr>
        <w:t xml:space="preserve"> </w:t>
      </w: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rPr>
        <w:t xml:space="preserve">VISITA TÉCNICA FACULTATIVA: </w:t>
      </w:r>
    </w:p>
    <w:p>
      <w:pPr>
        <w:spacing w:after="0" w:line="360" w:lineRule="auto"/>
        <w:jc w:val="both"/>
        <w:rPr>
          <w:rFonts w:ascii="Arial" w:hAnsi="Arial" w:cs="Arial"/>
          <w:sz w:val="24"/>
          <w:szCs w:val="24"/>
          <w:lang w:eastAsia="pt-BR"/>
        </w:rPr>
      </w:pPr>
      <w:r>
        <w:rPr>
          <w:rFonts w:ascii="Arial" w:hAnsi="Arial" w:cs="Arial"/>
          <w:sz w:val="24"/>
          <w:szCs w:val="24"/>
          <w:lang w:eastAsia="pt-BR"/>
        </w:rPr>
        <w:t>A Secretaria de Obras e Infraestruturas recomenda que todos os licitantes visitem os locais da execução dos serviços para terem conhecimento pleno das obras a serem executadas e dos impactos ambientais consequentes. O objetivo da visita é que os preços ofertados pelas empresas reflitam, com exatidão, os serviços a serem executados, evitando-se futuros pleitos de aditivos ao contrato.</w:t>
      </w:r>
      <w:r>
        <w:rPr>
          <w:rFonts w:hint="default" w:ascii="Arial" w:hAnsi="Arial" w:cs="Arial"/>
          <w:sz w:val="24"/>
          <w:szCs w:val="24"/>
          <w:lang w:val="en-US" w:eastAsia="pt-BR"/>
        </w:rPr>
        <w:t xml:space="preserve"> </w:t>
      </w:r>
      <w:r>
        <w:rPr>
          <w:rFonts w:ascii="Arial" w:hAnsi="Arial" w:cs="Arial"/>
          <w:sz w:val="24"/>
          <w:szCs w:val="24"/>
          <w:lang w:eastAsia="pt-BR"/>
        </w:rPr>
        <w:t xml:space="preserve">Caso queira visitar o local </w:t>
      </w:r>
      <w:r>
        <w:rPr>
          <w:rFonts w:hint="default" w:ascii="Arial" w:hAnsi="Arial" w:cs="Arial"/>
          <w:sz w:val="24"/>
          <w:szCs w:val="24"/>
          <w:lang w:val="en-US" w:eastAsia="pt-BR"/>
        </w:rPr>
        <w:t xml:space="preserve">com </w:t>
      </w:r>
      <w:r>
        <w:rPr>
          <w:rFonts w:ascii="Arial" w:hAnsi="Arial" w:cs="Arial"/>
          <w:sz w:val="24"/>
          <w:szCs w:val="24"/>
          <w:lang w:eastAsia="pt-BR"/>
        </w:rPr>
        <w:t>os técnicos da Prefeitura, o licitante deverá agendar junto a Secretaria de Obras no período e horários estabelecidos no Edital.</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hint="default" w:ascii="Arial" w:hAnsi="Arial" w:cs="Arial"/>
          <w:sz w:val="24"/>
          <w:szCs w:val="24"/>
          <w:lang w:val="en-US" w:eastAsia="pt-BR"/>
        </w:rPr>
        <w:t>De qualquer maneira, a</w:t>
      </w:r>
      <w:r>
        <w:rPr>
          <w:rFonts w:ascii="Arial" w:hAnsi="Arial" w:cs="Arial"/>
          <w:sz w:val="24"/>
          <w:szCs w:val="24"/>
          <w:lang w:eastAsia="pt-BR"/>
        </w:rPr>
        <w:t>s empresas participantes deverão apresentar uma declaração formal, sob as penas cabíveis, de que possui pleno conhecimento das condições da execução das obras e ou serviços, bem como dispõe de instalações, pessoal especializado, maquinas e equipamentos, os quais deverão estar disponíveis nas quantidades e qualidades mínimas necessárias ao cumprimento do objetivo.</w:t>
      </w:r>
    </w:p>
    <w:p>
      <w:pPr>
        <w:spacing w:after="0" w:line="360" w:lineRule="auto"/>
        <w:jc w:val="both"/>
        <w:rPr>
          <w:rFonts w:ascii="Arial" w:hAnsi="Arial" w:cs="Arial"/>
          <w:sz w:val="24"/>
          <w:szCs w:val="24"/>
          <w:lang w:eastAsia="pt-BR"/>
        </w:rPr>
      </w:pP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rPr>
        <w:t>DESCRIÇÃO DOS SERVIÇOS E METODOLOGIA DE TRABALHO</w:t>
      </w:r>
    </w:p>
    <w:p>
      <w:pPr>
        <w:pStyle w:val="10"/>
        <w:spacing w:after="0" w:line="360" w:lineRule="auto"/>
        <w:ind w:left="0"/>
        <w:jc w:val="both"/>
        <w:rPr>
          <w:rFonts w:ascii="Arial" w:hAnsi="Arial" w:cs="Arial"/>
          <w:sz w:val="24"/>
          <w:szCs w:val="24"/>
        </w:rPr>
      </w:pPr>
      <w:r>
        <w:rPr>
          <w:rFonts w:ascii="Arial" w:hAnsi="Arial" w:cs="Arial"/>
          <w:sz w:val="24"/>
          <w:szCs w:val="24"/>
        </w:rPr>
        <w:t xml:space="preserve">Os serviços serão realizados em rigorosa observância aos projetos e respectivos detalhes, bem como na estrita obediência às prescrições e exigências contidas em memorial descritivo, critérios de medição e planilhas orçamentarias. </w:t>
      </w:r>
    </w:p>
    <w:p>
      <w:pPr>
        <w:pStyle w:val="10"/>
        <w:spacing w:after="0" w:line="360" w:lineRule="auto"/>
        <w:ind w:left="0"/>
        <w:jc w:val="both"/>
        <w:rPr>
          <w:rFonts w:ascii="Arial" w:hAnsi="Arial" w:cs="Arial"/>
          <w:sz w:val="24"/>
          <w:szCs w:val="24"/>
        </w:rPr>
      </w:pPr>
    </w:p>
    <w:p>
      <w:pPr>
        <w:jc w:val="both"/>
        <w:rPr>
          <w:rFonts w:ascii="Verdana" w:hAnsi="Verdana"/>
          <w:b/>
        </w:rPr>
      </w:pPr>
      <w:r>
        <w:rPr>
          <w:rFonts w:ascii="Arial" w:hAnsi="Arial" w:cs="Arial"/>
          <w:bCs/>
          <w:sz w:val="24"/>
          <w:szCs w:val="24"/>
        </w:rPr>
        <w:t>8.1– Início dos Serviços</w:t>
      </w:r>
    </w:p>
    <w:p>
      <w:pPr>
        <w:spacing w:after="0" w:line="360" w:lineRule="auto"/>
        <w:jc w:val="both"/>
        <w:rPr>
          <w:rFonts w:ascii="Arial" w:hAnsi="Arial" w:cs="Arial"/>
          <w:sz w:val="24"/>
          <w:szCs w:val="24"/>
          <w:lang w:eastAsia="pt-BR"/>
        </w:rPr>
      </w:pPr>
      <w:r>
        <w:rPr>
          <w:rFonts w:ascii="Arial" w:hAnsi="Arial" w:cs="Arial"/>
          <w:sz w:val="24"/>
          <w:szCs w:val="24"/>
          <w:lang w:eastAsia="pt-BR"/>
        </w:rPr>
        <w:t>8.1.1 - Os serviços terão início na data da emissão da ORDEM DE SERVIÇO a ser emitida pela Municipalidade e recebida pelo responsável da empresa.</w:t>
      </w:r>
    </w:p>
    <w:p>
      <w:pPr>
        <w:spacing w:after="0" w:line="360" w:lineRule="auto"/>
        <w:jc w:val="both"/>
        <w:rPr>
          <w:rFonts w:ascii="Arial" w:hAnsi="Arial" w:cs="Arial"/>
          <w:sz w:val="24"/>
          <w:szCs w:val="24"/>
          <w:lang w:eastAsia="pt-BR"/>
        </w:rPr>
      </w:pPr>
    </w:p>
    <w:p>
      <w:pPr>
        <w:jc w:val="both"/>
        <w:rPr>
          <w:rFonts w:ascii="Arial" w:hAnsi="Arial" w:cs="Arial"/>
          <w:bCs/>
          <w:sz w:val="24"/>
          <w:szCs w:val="24"/>
        </w:rPr>
      </w:pPr>
      <w:r>
        <w:rPr>
          <w:rFonts w:ascii="Arial" w:hAnsi="Arial" w:cs="Arial"/>
          <w:bCs/>
          <w:sz w:val="24"/>
          <w:szCs w:val="24"/>
        </w:rPr>
        <w:t>8.2 – Equipe Técnica</w:t>
      </w:r>
    </w:p>
    <w:p>
      <w:pPr>
        <w:spacing w:after="0" w:line="360" w:lineRule="auto"/>
        <w:jc w:val="both"/>
        <w:rPr>
          <w:rFonts w:ascii="Arial" w:hAnsi="Arial" w:cs="Arial"/>
          <w:sz w:val="24"/>
          <w:szCs w:val="24"/>
          <w:lang w:eastAsia="pt-BR"/>
        </w:rPr>
      </w:pPr>
      <w:r>
        <w:rPr>
          <w:rFonts w:ascii="Arial" w:hAnsi="Arial" w:cs="Arial"/>
          <w:sz w:val="24"/>
          <w:szCs w:val="24"/>
          <w:lang w:eastAsia="pt-BR"/>
        </w:rPr>
        <w:t>8.2.1 - A equipe técnica a ser alocada para execução dos serviços deverá ser constituída pelos profissionais necessários à execução dos serviços constantes das PLANILHAS ORÇAMENTÁRIAS da SECOBR em número e especialização compatíveis com a natureza dos serviços e o cronograma físico.</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8.3.2 - Quando não houver acatamento das determinações da fiscalização por parte dos prepostos e responsáveis da Contratada na obra, será facultado à fiscalização da SECOBR exigir a sua substituição por outro profissional, escolhido pela Contratada.</w:t>
      </w:r>
    </w:p>
    <w:p>
      <w:pPr>
        <w:jc w:val="both"/>
        <w:rPr>
          <w:rFonts w:ascii="Arial" w:hAnsi="Arial" w:cs="Arial"/>
          <w:bCs/>
          <w:sz w:val="24"/>
          <w:szCs w:val="24"/>
        </w:rPr>
      </w:pPr>
    </w:p>
    <w:p>
      <w:pPr>
        <w:jc w:val="both"/>
        <w:rPr>
          <w:rFonts w:ascii="Arial" w:hAnsi="Arial" w:cs="Arial"/>
          <w:bCs/>
          <w:sz w:val="24"/>
          <w:szCs w:val="24"/>
        </w:rPr>
      </w:pPr>
      <w:r>
        <w:rPr>
          <w:rFonts w:ascii="Arial" w:hAnsi="Arial" w:cs="Arial"/>
          <w:bCs/>
          <w:sz w:val="24"/>
          <w:szCs w:val="24"/>
        </w:rPr>
        <w:t>8.3 – Forma de Execução</w:t>
      </w:r>
    </w:p>
    <w:p>
      <w:pPr>
        <w:spacing w:after="0" w:line="360" w:lineRule="auto"/>
        <w:jc w:val="both"/>
        <w:rPr>
          <w:rFonts w:ascii="Arial" w:hAnsi="Arial" w:cs="Arial"/>
          <w:sz w:val="24"/>
          <w:szCs w:val="24"/>
          <w:lang w:eastAsia="pt-BR"/>
        </w:rPr>
      </w:pPr>
      <w:r>
        <w:rPr>
          <w:rFonts w:ascii="Arial" w:hAnsi="Arial" w:cs="Arial"/>
          <w:sz w:val="24"/>
          <w:szCs w:val="24"/>
          <w:lang w:eastAsia="pt-BR"/>
        </w:rPr>
        <w:t>8.3.1 - Após ser dada a Ordem de Serviço à Contratada, esta deverá apresentar o cronograma físico-financeiro da obra, que deverá obedecer ao prazo máximo estipulado pelo contrato e pelo cronograma indicado no anexo deste Termo de Referência.</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bCs/>
          <w:sz w:val="24"/>
          <w:szCs w:val="24"/>
        </w:rPr>
      </w:pPr>
      <w:r>
        <w:rPr>
          <w:rFonts w:ascii="Arial" w:hAnsi="Arial" w:cs="Arial"/>
          <w:bCs/>
          <w:sz w:val="24"/>
          <w:szCs w:val="24"/>
        </w:rPr>
        <w:t>8.4 - A contratada deverá instalar o canteiro próximo ao local da obra.</w:t>
      </w:r>
    </w:p>
    <w:p>
      <w:pPr>
        <w:spacing w:after="0" w:line="360" w:lineRule="auto"/>
        <w:jc w:val="both"/>
        <w:rPr>
          <w:rFonts w:ascii="Arial" w:hAnsi="Arial" w:cs="Arial"/>
          <w:bCs/>
          <w:sz w:val="24"/>
          <w:szCs w:val="24"/>
        </w:rPr>
      </w:pPr>
    </w:p>
    <w:p>
      <w:pPr>
        <w:spacing w:after="0" w:line="360" w:lineRule="auto"/>
        <w:jc w:val="both"/>
        <w:rPr>
          <w:rFonts w:ascii="Arial" w:hAnsi="Arial" w:cs="Arial"/>
          <w:sz w:val="24"/>
          <w:szCs w:val="24"/>
          <w:lang w:eastAsia="pt-BR"/>
        </w:rPr>
      </w:pPr>
      <w:r>
        <w:rPr>
          <w:rFonts w:ascii="Arial" w:hAnsi="Arial" w:cs="Arial"/>
          <w:sz w:val="24"/>
          <w:szCs w:val="24"/>
          <w:lang w:eastAsia="pt-BR"/>
        </w:rPr>
        <w:t>8.5 - Com relação aos itens de Segurança do Trabalho, devem ser atendidas e observadas todas as Normas Regulamentadoras, pertinentes e orientações do Ministério do Trabalho durante a vigência contratual. Os operários deverão estar com Equipamentos de Proteção Individual - EPI´s adequados aos serviços que estiverem executando e, quando necessário, Equipamentos de Proteção Coletiva – EPC.</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bCs/>
          <w:sz w:val="24"/>
          <w:szCs w:val="24"/>
        </w:rPr>
        <w:t xml:space="preserve">8.6 - </w:t>
      </w:r>
      <w:r>
        <w:rPr>
          <w:rFonts w:ascii="Arial" w:hAnsi="Arial" w:cs="Arial"/>
          <w:sz w:val="24"/>
          <w:szCs w:val="24"/>
          <w:lang w:eastAsia="pt-BR"/>
        </w:rPr>
        <w:t xml:space="preserve">Os serviços contratados devem ser executados rigorosamente de acordo com as especificações contidas no memorial e projetos, sendo toda a mão de obra e materiais fornecidos pela Contratada. Destaca-se que serão impugnados pela fiscalização de obra, todos os trabalhos que não satisfaçam às condições técnicas e contratuais, ficando a Contratada obrigada a demolir e a refazer os trabalhos logo após a oficialização pela fiscalização, ficando por sua conta exclusiva as despesas decorrentes dessas providências. </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bCs/>
          <w:sz w:val="24"/>
          <w:szCs w:val="24"/>
        </w:rPr>
        <w:t xml:space="preserve">8.7 - </w:t>
      </w:r>
      <w:r>
        <w:rPr>
          <w:rFonts w:ascii="Arial" w:hAnsi="Arial" w:cs="Arial"/>
          <w:sz w:val="24"/>
          <w:szCs w:val="24"/>
          <w:lang w:eastAsia="pt-BR"/>
        </w:rPr>
        <w:t xml:space="preserve">Os materiais a serem empregados deverão ser novos, adequados aos tipos de serviços e atenderem às especificações, projetos e planilhas inclusive as normas aplicáveis. </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 xml:space="preserve">8.8 - Também é de responsabilidade da Contratada o serviço de vigilância nos recintos de trabalho e em especial no canteiro de obras e deposito, cabendo-lhe toda a responsabilidade por quaisquer danos decorrentes de negligência durante a execução das obras, até a entrega definitiva. </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 xml:space="preserve">8.9 - Caso seja efetuada qualquer modificação, parcial ou total, constantes nesse Termo de Referência, proposta pela Contratante ou pela Contratada este fato não implicará em anular ou invalidar o contrato, que prevalecerá em quaisquer circunstâncias. Potenciais alterações que incorram no surgimento de serviços novos deverão ser apresentadas previamente pela Contratada e analisadas pela SECOBR antes do início efetivo do serviço. </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8.10 - No que se refere à mobilização e desmobilização, a Contratada deve atender aos seguintes aspectos:</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 Tomar todas as providências relativas à mobilização após assinatura do contrato, de forma a poder dar início efetivo e concluir a obra dentro do prazo contratual e cronograma apresentado;</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 xml:space="preserve">- Transporte de todos os equipamentos e materiais, para execução dos serviços contratados, até o canteiro de obra e sua posterior retirada; </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 Movimentação de todo o pessoal ligado à Contratada, em qualquer tempo, até o canteiro de obras e posterior regresso a seus locais de origem;</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 No final da obra, remover todas as instalações do Canteiro de Obras, equipamentos, detritos e restos de materiais, de modo a entregar as áreas utilizadas totalmente limpas.</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8.11 – Subcontratação</w:t>
      </w:r>
    </w:p>
    <w:p>
      <w:pPr>
        <w:spacing w:after="0" w:line="360" w:lineRule="auto"/>
        <w:jc w:val="both"/>
        <w:rPr>
          <w:rFonts w:ascii="Arial" w:hAnsi="Arial" w:cs="Arial"/>
          <w:sz w:val="24"/>
          <w:szCs w:val="24"/>
          <w:lang w:eastAsia="pt-BR"/>
        </w:rPr>
      </w:pPr>
      <w:r>
        <w:rPr>
          <w:rFonts w:ascii="Arial" w:hAnsi="Arial" w:cs="Arial"/>
          <w:sz w:val="24"/>
          <w:szCs w:val="24"/>
          <w:lang w:eastAsia="pt-BR"/>
        </w:rPr>
        <w:t xml:space="preserve">8.11.1 - A licitante Contratada poderá subcontratar os serviços constantes do objeto deste termo de referência com o percentual máximo de </w:t>
      </w:r>
      <w:r>
        <w:rPr>
          <w:rFonts w:ascii="Arial" w:hAnsi="Arial" w:cs="Arial"/>
          <w:b/>
          <w:bCs/>
          <w:sz w:val="24"/>
          <w:szCs w:val="24"/>
          <w:lang w:eastAsia="pt-BR"/>
        </w:rPr>
        <w:t>0%</w:t>
      </w:r>
      <w:r>
        <w:rPr>
          <w:rFonts w:ascii="Arial" w:hAnsi="Arial" w:cs="Arial"/>
          <w:sz w:val="24"/>
          <w:szCs w:val="24"/>
          <w:lang w:eastAsia="pt-BR"/>
        </w:rPr>
        <w:t xml:space="preserve"> do valor do Contrato.</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 xml:space="preserve">8.11.2 - Não haverá prejuízo às responsabilidades contratuais e legais da CONTRATADA sobre os serviços realizados por qualquer empresa subcontratada. </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8.11.3 - É motivo para rescisão contratual a subcontratação total ou parcial do seu objeto, a associação do contratado com outrem, a cessão ou transferência, total ou parcial, bem como a fusão, cisão ou incorporação, não admitidas no edital e no contrato.</w:t>
      </w:r>
    </w:p>
    <w:p>
      <w:pPr>
        <w:spacing w:after="0" w:line="360" w:lineRule="auto"/>
        <w:jc w:val="both"/>
        <w:rPr>
          <w:rFonts w:ascii="Arial" w:hAnsi="Arial" w:cs="Arial"/>
          <w:sz w:val="24"/>
          <w:szCs w:val="24"/>
          <w:lang w:eastAsia="pt-BR"/>
        </w:rPr>
      </w:pPr>
    </w:p>
    <w:p>
      <w:pPr>
        <w:spacing w:after="0" w:line="360" w:lineRule="auto"/>
        <w:jc w:val="both"/>
        <w:rPr>
          <w:rFonts w:ascii="Arial" w:hAnsi="Arial" w:cs="Arial"/>
          <w:sz w:val="24"/>
          <w:szCs w:val="24"/>
          <w:lang w:eastAsia="pt-BR"/>
        </w:rPr>
      </w:pPr>
      <w:r>
        <w:rPr>
          <w:rFonts w:ascii="Arial" w:hAnsi="Arial" w:cs="Arial"/>
          <w:sz w:val="24"/>
          <w:szCs w:val="24"/>
          <w:lang w:eastAsia="pt-BR"/>
        </w:rPr>
        <w:t xml:space="preserve">8.11.4 - É vedada a subcontratação dos serviços parte da capacitação técnica deste contrato </w:t>
      </w:r>
    </w:p>
    <w:p>
      <w:pPr>
        <w:spacing w:after="0" w:line="360" w:lineRule="auto"/>
        <w:jc w:val="both"/>
        <w:rPr>
          <w:rFonts w:ascii="Arial" w:hAnsi="Arial" w:cs="Arial"/>
          <w:sz w:val="24"/>
          <w:szCs w:val="24"/>
        </w:rPr>
      </w:pPr>
    </w:p>
    <w:p>
      <w:pPr>
        <w:pStyle w:val="10"/>
        <w:numPr>
          <w:ilvl w:val="0"/>
          <w:numId w:val="1"/>
        </w:numPr>
        <w:spacing w:after="0" w:line="360" w:lineRule="auto"/>
        <w:ind w:left="0"/>
        <w:jc w:val="both"/>
        <w:rPr>
          <w:rFonts w:ascii="Arial" w:hAnsi="Arial" w:cs="Arial"/>
          <w:b/>
          <w:sz w:val="24"/>
          <w:szCs w:val="24"/>
        </w:rPr>
      </w:pPr>
      <w:r>
        <w:rPr>
          <w:rFonts w:ascii="Arial" w:hAnsi="Arial" w:cs="Arial"/>
          <w:b/>
          <w:sz w:val="24"/>
          <w:szCs w:val="24"/>
        </w:rPr>
        <w:t>DA ESTIMATIVA DE VALORES</w:t>
      </w:r>
    </w:p>
    <w:p>
      <w:pPr>
        <w:spacing w:after="0" w:line="360" w:lineRule="auto"/>
        <w:jc w:val="both"/>
        <w:rPr>
          <w:rFonts w:ascii="Arial" w:hAnsi="Arial" w:cs="Arial"/>
          <w:sz w:val="24"/>
          <w:szCs w:val="24"/>
          <w:lang w:eastAsia="pt-BR"/>
        </w:rPr>
      </w:pPr>
      <w:r>
        <w:rPr>
          <w:rFonts w:ascii="Arial" w:hAnsi="Arial" w:cs="Arial"/>
          <w:sz w:val="24"/>
          <w:szCs w:val="24"/>
          <w:lang w:eastAsia="pt-BR"/>
        </w:rPr>
        <w:t xml:space="preserve">9.1 - O valor total é de </w:t>
      </w:r>
      <w:r>
        <w:rPr>
          <w:rFonts w:ascii="Arial" w:hAnsi="Arial" w:cs="Arial"/>
          <w:sz w:val="24"/>
          <w:szCs w:val="24"/>
          <w:lang w:eastAsia="zh-CN"/>
        </w:rPr>
        <w:t xml:space="preserve">R$ </w:t>
      </w:r>
      <w:r>
        <w:rPr>
          <w:rFonts w:hint="default" w:ascii="Arial" w:hAnsi="Arial" w:cs="Arial"/>
          <w:sz w:val="24"/>
          <w:szCs w:val="24"/>
          <w:lang w:val="pt-BR" w:eastAsia="zh-CN"/>
        </w:rPr>
        <w:t>711.467,42</w:t>
      </w:r>
      <w:r>
        <w:rPr>
          <w:rFonts w:ascii="Arial" w:hAnsi="Arial" w:cs="Arial"/>
          <w:sz w:val="24"/>
          <w:szCs w:val="24"/>
          <w:lang w:eastAsia="zh-CN"/>
        </w:rPr>
        <w:t xml:space="preserve"> (</w:t>
      </w:r>
      <w:r>
        <w:rPr>
          <w:rFonts w:hint="default" w:ascii="Arial" w:hAnsi="Arial" w:cs="Arial"/>
          <w:sz w:val="24"/>
          <w:szCs w:val="24"/>
          <w:lang w:val="pt-BR" w:eastAsia="zh-CN"/>
        </w:rPr>
        <w:t>Setecentos e onze mil, quatrocentos e sessenta e sete reais e quarenta dois</w:t>
      </w:r>
      <w:r>
        <w:rPr>
          <w:rFonts w:ascii="Arial" w:hAnsi="Arial" w:cs="Arial"/>
          <w:sz w:val="24"/>
          <w:szCs w:val="24"/>
          <w:lang w:eastAsia="zh-CN"/>
        </w:rPr>
        <w:t xml:space="preserve"> centavos), </w:t>
      </w:r>
      <w:r>
        <w:rPr>
          <w:rFonts w:ascii="Arial" w:hAnsi="Arial" w:cs="Arial"/>
          <w:sz w:val="24"/>
          <w:szCs w:val="24"/>
          <w:lang w:eastAsia="pt-BR"/>
        </w:rPr>
        <w:t>conforme indicado na Planilha Orçamentária integrante do ETP (Estudo Técnico Preliminar).</w:t>
      </w:r>
    </w:p>
    <w:p>
      <w:pPr>
        <w:spacing w:after="0" w:line="360" w:lineRule="auto"/>
        <w:jc w:val="both"/>
        <w:rPr>
          <w:rFonts w:ascii="Arial" w:hAnsi="Arial" w:cs="Arial"/>
          <w:sz w:val="24"/>
          <w:szCs w:val="24"/>
          <w:lang w:eastAsia="pt-BR"/>
        </w:rPr>
      </w:pPr>
    </w:p>
    <w:p>
      <w:pPr>
        <w:pStyle w:val="10"/>
        <w:spacing w:after="0" w:line="360" w:lineRule="auto"/>
        <w:ind w:left="0"/>
        <w:jc w:val="both"/>
        <w:rPr>
          <w:rFonts w:hint="default" w:ascii="Arial" w:hAnsi="Arial" w:cs="Arial"/>
          <w:sz w:val="24"/>
          <w:szCs w:val="24"/>
          <w:lang w:val="en-US" w:eastAsia="pt-BR"/>
        </w:rPr>
      </w:pPr>
      <w:r>
        <w:rPr>
          <w:rFonts w:ascii="Arial" w:hAnsi="Arial" w:cs="Arial"/>
          <w:sz w:val="24"/>
          <w:szCs w:val="24"/>
          <w:lang w:eastAsia="pt-BR"/>
        </w:rPr>
        <w:t>9.2 - Para a composição dos preços unitários, foi utilizada a Tabela de Preços</w:t>
      </w:r>
      <w:r>
        <w:rPr>
          <w:rFonts w:ascii="Arial" w:hAnsi="Arial" w:eastAsia="LiberationSerif-Bold" w:cs="Arial"/>
          <w:bCs/>
          <w:sz w:val="24"/>
          <w:szCs w:val="24"/>
        </w:rPr>
        <w:t xml:space="preserve"> Instituto de Obras Públicas do Estado do Espírito Santo (IOPES), planilha de maio de 2021, Departamento de Edificações e Rodovias do Estado do Espírito Santo (DER-ES), planilha de rodovias de junho de 202</w:t>
      </w:r>
      <w:r>
        <w:rPr>
          <w:rFonts w:hint="default" w:ascii="Arial" w:hAnsi="Arial" w:eastAsia="LiberationSerif-Bold" w:cs="Arial"/>
          <w:bCs/>
          <w:sz w:val="24"/>
          <w:szCs w:val="24"/>
          <w:lang w:val="pt-BR"/>
        </w:rPr>
        <w:t>1</w:t>
      </w:r>
      <w:r>
        <w:rPr>
          <w:rFonts w:ascii="Arial" w:hAnsi="Arial" w:eastAsia="LiberationSerif-Bold" w:cs="Arial"/>
          <w:bCs/>
          <w:sz w:val="24"/>
          <w:szCs w:val="24"/>
        </w:rPr>
        <w:t xml:space="preserve"> e Departamento de Nacional de Infraestrutura de Transportes (DNIT), planilha de </w:t>
      </w:r>
      <w:r>
        <w:rPr>
          <w:rFonts w:hint="default" w:ascii="Arial" w:hAnsi="Arial" w:eastAsia="LiberationSerif-Bold" w:cs="Arial"/>
          <w:bCs/>
          <w:sz w:val="24"/>
          <w:szCs w:val="24"/>
          <w:lang w:val="pt-BR"/>
        </w:rPr>
        <w:t>outubro</w:t>
      </w:r>
      <w:r>
        <w:rPr>
          <w:rFonts w:ascii="Arial" w:hAnsi="Arial" w:eastAsia="LiberationSerif-Bold" w:cs="Arial"/>
          <w:bCs/>
          <w:sz w:val="24"/>
          <w:szCs w:val="24"/>
        </w:rPr>
        <w:t xml:space="preserve"> de 2021</w:t>
      </w:r>
      <w:r>
        <w:rPr>
          <w:rFonts w:ascii="Arial" w:hAnsi="Arial" w:cs="Arial"/>
          <w:sz w:val="24"/>
          <w:szCs w:val="24"/>
          <w:lang w:eastAsia="pt-BR"/>
        </w:rPr>
        <w:t xml:space="preserve">, </w:t>
      </w:r>
      <w:r>
        <w:rPr>
          <w:rFonts w:ascii="Arial" w:hAnsi="Arial" w:cs="Arial"/>
          <w:sz w:val="24"/>
          <w:szCs w:val="24"/>
          <w:highlight w:val="none"/>
          <w:lang w:eastAsia="pt-BR"/>
        </w:rPr>
        <w:t xml:space="preserve">com desoneração, BDI de </w:t>
      </w:r>
      <w:r>
        <w:rPr>
          <w:rFonts w:hint="default" w:ascii="Arial" w:hAnsi="Arial" w:cs="Arial"/>
          <w:sz w:val="24"/>
          <w:szCs w:val="24"/>
          <w:highlight w:val="none"/>
          <w:lang w:val="en-US" w:eastAsia="pt-BR"/>
        </w:rPr>
        <w:t>31,96</w:t>
      </w:r>
      <w:r>
        <w:rPr>
          <w:rFonts w:ascii="Arial" w:hAnsi="Arial" w:cs="Arial"/>
          <w:sz w:val="24"/>
          <w:szCs w:val="24"/>
          <w:highlight w:val="none"/>
          <w:lang w:eastAsia="pt-BR"/>
        </w:rPr>
        <w:t>% e Encargos Sociais de 128,33%.</w:t>
      </w:r>
      <w:r>
        <w:rPr>
          <w:rFonts w:hint="default" w:ascii="Arial" w:hAnsi="Arial" w:cs="Arial"/>
          <w:sz w:val="24"/>
          <w:szCs w:val="24"/>
          <w:highlight w:val="none"/>
          <w:lang w:val="en-US" w:eastAsia="pt-BR"/>
        </w:rPr>
        <w:t xml:space="preserve"> Os itens do DER foram atualizados para a data base 11/2021 através dos índices de reajustamento de preços fornecidos pela FGV, conforme a IN nº 59/DNIT</w:t>
      </w:r>
    </w:p>
    <w:p>
      <w:pPr>
        <w:spacing w:after="0" w:line="360" w:lineRule="auto"/>
        <w:jc w:val="both"/>
        <w:rPr>
          <w:rFonts w:ascii="Arial" w:hAnsi="Arial" w:cs="Arial"/>
          <w:sz w:val="24"/>
          <w:szCs w:val="24"/>
          <w:lang w:eastAsia="pt-BR"/>
        </w:rPr>
      </w:pPr>
    </w:p>
    <w:p>
      <w:pPr>
        <w:pStyle w:val="10"/>
        <w:numPr>
          <w:ilvl w:val="0"/>
          <w:numId w:val="1"/>
        </w:numPr>
        <w:spacing w:after="0" w:line="360" w:lineRule="auto"/>
        <w:ind w:left="4" w:hanging="444"/>
        <w:jc w:val="both"/>
        <w:rPr>
          <w:rFonts w:ascii="Arial" w:hAnsi="Arial" w:cs="Arial"/>
          <w:b/>
          <w:sz w:val="24"/>
          <w:szCs w:val="24"/>
        </w:rPr>
      </w:pPr>
      <w:r>
        <w:rPr>
          <w:rFonts w:ascii="Arial" w:hAnsi="Arial" w:cs="Arial"/>
          <w:b/>
          <w:sz w:val="24"/>
          <w:szCs w:val="24"/>
        </w:rPr>
        <w:t>PROCEDIMENTOS E CRITÉRIOS PARA REAJUSTAMENTO DO CONTRATO</w:t>
      </w:r>
    </w:p>
    <w:p>
      <w:pPr>
        <w:spacing w:after="0" w:line="360" w:lineRule="auto"/>
        <w:jc w:val="both"/>
        <w:rPr>
          <w:rFonts w:ascii="Arial" w:hAnsi="Arial" w:cs="Arial"/>
          <w:sz w:val="24"/>
          <w:szCs w:val="24"/>
        </w:rPr>
      </w:pPr>
      <w:r>
        <w:rPr>
          <w:rFonts w:ascii="Arial" w:hAnsi="Arial" w:cs="Arial"/>
          <w:sz w:val="24"/>
          <w:szCs w:val="24"/>
        </w:rPr>
        <w:t>Não haverá reajustamento do preço contratado. Caso o prazo contratual inicialmente fixado seja prorrogado, nas hipóteses do art. 57, da Lei 8.666/93, ultrapassando o período de vigência de 1 (um) ano, contados a partir da data limite de apresentação da proposta, poderá ser concedido reajuste ao preço contratado, mediante requerimento escrito. Entretanto, o reajustamento fica subordinado à Legislação Federal em vigor vinculado ao índice do INCC (Índice Nacional da Construção Civil).</w:t>
      </w:r>
    </w:p>
    <w:p>
      <w:pPr>
        <w:spacing w:after="0" w:line="360" w:lineRule="auto"/>
        <w:jc w:val="both"/>
        <w:rPr>
          <w:rFonts w:ascii="Verdana" w:hAnsi="Verdana"/>
        </w:rPr>
      </w:pPr>
      <w:r>
        <w:rPr>
          <w:rFonts w:ascii="Arial" w:hAnsi="Arial" w:cs="Arial"/>
          <w:sz w:val="24"/>
          <w:szCs w:val="24"/>
        </w:rPr>
        <w:t xml:space="preserve">Dessa forma, o primeiro reajuste deve levar em conta o índice do INCC acumulado nos 12 meses, contados a partir da data de apresentação da proposta. </w:t>
      </w:r>
      <w:r>
        <w:rPr>
          <w:rFonts w:ascii="Arial" w:hAnsi="Arial" w:cs="Arial"/>
          <w:sz w:val="24"/>
          <w:szCs w:val="24"/>
        </w:rPr>
        <w:br w:type="textWrapping"/>
      </w:r>
      <w:r>
        <w:rPr>
          <w:rFonts w:ascii="Arial" w:hAnsi="Arial" w:cs="Arial"/>
          <w:sz w:val="24"/>
          <w:szCs w:val="24"/>
        </w:rPr>
        <w:t>Consequentemente, as parcelas do contrato pagas desde a data da apresentação das propostas da licitação até o 12º mês depois desta data-base não podem sofrer reajustes.</w:t>
      </w:r>
      <w:r>
        <w:rPr>
          <w:rFonts w:ascii="Verdana" w:hAnsi="Verdana"/>
        </w:rPr>
        <w:br w:type="textWrapping"/>
      </w:r>
    </w:p>
    <w:p>
      <w:pPr>
        <w:pStyle w:val="10"/>
        <w:numPr>
          <w:ilvl w:val="0"/>
          <w:numId w:val="3"/>
        </w:numPr>
        <w:spacing w:after="0" w:line="360" w:lineRule="auto"/>
        <w:jc w:val="both"/>
        <w:rPr>
          <w:rFonts w:ascii="Arial" w:hAnsi="Arial" w:cs="Arial"/>
          <w:sz w:val="24"/>
          <w:szCs w:val="24"/>
        </w:rPr>
      </w:pPr>
      <w:r>
        <w:rPr>
          <w:rFonts w:ascii="Arial" w:hAnsi="Arial" w:cs="Arial"/>
          <w:sz w:val="24"/>
          <w:szCs w:val="24"/>
        </w:rPr>
        <w:t>Critério de Reajustamento:</w:t>
      </w:r>
    </w:p>
    <w:p>
      <w:pPr>
        <w:pStyle w:val="10"/>
        <w:spacing w:after="0" w:line="360" w:lineRule="auto"/>
        <w:ind w:left="0"/>
        <w:jc w:val="both"/>
        <w:rPr>
          <w:rFonts w:ascii="Arial" w:hAnsi="Arial" w:cs="Arial"/>
          <w:sz w:val="24"/>
          <w:szCs w:val="24"/>
        </w:rPr>
      </w:pPr>
      <w:r>
        <w:rPr>
          <w:rFonts w:ascii="Arial" w:hAnsi="Arial" w:cs="Arial"/>
          <w:sz w:val="24"/>
          <w:szCs w:val="24"/>
        </w:rPr>
        <w:t xml:space="preserve">     </w:t>
      </w:r>
    </w:p>
    <w:p>
      <w:pPr>
        <w:pStyle w:val="10"/>
        <w:spacing w:after="0" w:line="360" w:lineRule="auto"/>
        <w:ind w:left="0"/>
        <w:jc w:val="center"/>
        <w:rPr>
          <w:rFonts w:ascii="Arial" w:hAnsi="Arial" w:cs="Arial"/>
          <w:position w:val="-10"/>
          <w:sz w:val="24"/>
          <w:szCs w:val="24"/>
        </w:rPr>
      </w:pPr>
      <w:r>
        <w:rPr>
          <w:rFonts w:ascii="Arial" w:hAnsi="Arial" w:cs="Arial"/>
          <w:position w:val="-10"/>
          <w:sz w:val="24"/>
          <w:szCs w:val="24"/>
        </w:rPr>
        <w:object>
          <v:shape id="_x0000_i1025" o:spt="75" type="#_x0000_t75" style="height:16pt;width:48pt;" o:ole="t" filled="f" o:preferrelative="t" stroked="f" coordsize="21600,21600">
            <v:path/>
            <v:fill on="f" focussize="0,0"/>
            <v:stroke on="f" joinstyle="miter"/>
            <v:imagedata r:id="rId9" o:title=""/>
            <o:lock v:ext="edit" aspectratio="t"/>
            <w10:wrap type="none"/>
            <w10:anchorlock/>
          </v:shape>
          <o:OLEObject Type="Embed" ProgID="Equation.KSEE3" ShapeID="_x0000_i1025" DrawAspect="Content" ObjectID="_1468075725" r:id="rId8">
            <o:LockedField>false</o:LockedField>
          </o:OLEObject>
        </w:object>
      </w:r>
    </w:p>
    <w:p>
      <w:pPr>
        <w:pStyle w:val="10"/>
        <w:spacing w:after="0" w:line="360" w:lineRule="auto"/>
        <w:ind w:left="0"/>
        <w:jc w:val="center"/>
        <w:rPr>
          <w:rFonts w:ascii="Arial" w:hAnsi="Arial" w:cs="Arial"/>
          <w:position w:val="-10"/>
          <w:sz w:val="24"/>
          <w:szCs w:val="24"/>
        </w:rPr>
      </w:pPr>
    </w:p>
    <w:p>
      <w:pPr>
        <w:pStyle w:val="10"/>
        <w:spacing w:after="0" w:line="360" w:lineRule="auto"/>
        <w:ind w:left="0"/>
        <w:jc w:val="both"/>
        <w:rPr>
          <w:rFonts w:ascii="Arial" w:hAnsi="Arial" w:cs="Arial"/>
          <w:sz w:val="24"/>
          <w:szCs w:val="24"/>
        </w:rPr>
      </w:pPr>
      <w:r>
        <w:rPr>
          <w:rFonts w:ascii="Arial" w:hAnsi="Arial" w:cs="Arial"/>
          <w:sz w:val="24"/>
          <w:szCs w:val="24"/>
        </w:rPr>
        <w:t>Onde: k = Percentual acumulado do índice INCC do periodo de apresentação da proposta até o mês de aniversário do reajustamento;</w:t>
      </w:r>
    </w:p>
    <w:p>
      <w:pPr>
        <w:pStyle w:val="10"/>
        <w:spacing w:after="0" w:line="360" w:lineRule="auto"/>
        <w:ind w:left="0"/>
        <w:jc w:val="both"/>
        <w:rPr>
          <w:rFonts w:ascii="Arial" w:hAnsi="Arial" w:cs="Arial"/>
          <w:sz w:val="24"/>
          <w:szCs w:val="24"/>
        </w:rPr>
      </w:pPr>
      <w:r>
        <w:rPr>
          <w:rFonts w:ascii="Arial" w:hAnsi="Arial" w:cs="Arial"/>
          <w:sz w:val="24"/>
          <w:szCs w:val="24"/>
        </w:rPr>
        <w:t xml:space="preserve">           R = Valor da medição reajustado;</w:t>
      </w:r>
    </w:p>
    <w:p>
      <w:pPr>
        <w:pStyle w:val="10"/>
        <w:spacing w:after="0" w:line="360" w:lineRule="auto"/>
        <w:ind w:left="0"/>
        <w:jc w:val="both"/>
        <w:rPr>
          <w:rFonts w:ascii="Arial" w:hAnsi="Arial" w:cs="Arial"/>
          <w:sz w:val="24"/>
          <w:szCs w:val="24"/>
        </w:rPr>
      </w:pPr>
      <w:r>
        <w:rPr>
          <w:rFonts w:ascii="Arial" w:hAnsi="Arial" w:cs="Arial"/>
          <w:sz w:val="24"/>
          <w:szCs w:val="24"/>
        </w:rPr>
        <w:t xml:space="preserve">           M = Medição com valores da apresentação da proposta de licitação.</w:t>
      </w:r>
    </w:p>
    <w:p>
      <w:pPr>
        <w:pStyle w:val="10"/>
        <w:spacing w:after="0" w:line="360" w:lineRule="auto"/>
        <w:ind w:left="0"/>
        <w:jc w:val="both"/>
        <w:rPr>
          <w:rFonts w:ascii="Arial" w:hAnsi="Arial" w:cs="Arial"/>
          <w:sz w:val="24"/>
          <w:szCs w:val="24"/>
        </w:rPr>
      </w:pPr>
    </w:p>
    <w:p>
      <w:pPr>
        <w:pStyle w:val="10"/>
        <w:spacing w:after="0" w:line="360" w:lineRule="auto"/>
        <w:ind w:left="0"/>
        <w:jc w:val="both"/>
        <w:rPr>
          <w:rFonts w:ascii="Arial" w:hAnsi="Arial" w:cs="Arial"/>
          <w:sz w:val="24"/>
          <w:szCs w:val="24"/>
        </w:rPr>
      </w:pPr>
    </w:p>
    <w:p>
      <w:pPr>
        <w:pStyle w:val="10"/>
        <w:spacing w:after="0" w:line="360" w:lineRule="auto"/>
        <w:ind w:left="0"/>
        <w:jc w:val="both"/>
        <w:rPr>
          <w:rFonts w:ascii="Arial" w:hAnsi="Arial" w:cs="Arial"/>
          <w:sz w:val="24"/>
          <w:szCs w:val="24"/>
        </w:rPr>
      </w:pPr>
    </w:p>
    <w:p>
      <w:pPr>
        <w:pStyle w:val="10"/>
        <w:numPr>
          <w:ilvl w:val="0"/>
          <w:numId w:val="1"/>
        </w:numPr>
        <w:spacing w:after="0" w:line="360" w:lineRule="auto"/>
        <w:ind w:left="0"/>
        <w:jc w:val="both"/>
        <w:rPr>
          <w:rFonts w:ascii="Arial" w:hAnsi="Arial" w:cs="Arial"/>
          <w:sz w:val="24"/>
          <w:szCs w:val="24"/>
        </w:rPr>
      </w:pPr>
      <w:r>
        <w:rPr>
          <w:rFonts w:ascii="Arial" w:hAnsi="Arial" w:cs="Arial"/>
          <w:b/>
          <w:sz w:val="24"/>
          <w:szCs w:val="24"/>
        </w:rPr>
        <w:t>PROCEDIMENTOS DE FISCALIZAÇÃO</w:t>
      </w:r>
      <w:r>
        <w:rPr>
          <w:rFonts w:ascii="Arial" w:hAnsi="Arial" w:cs="Arial"/>
          <w:b/>
          <w:position w:val="-10"/>
          <w:sz w:val="24"/>
          <w:szCs w:val="24"/>
        </w:rPr>
        <w:t xml:space="preserve"> </w:t>
      </w:r>
      <w:r>
        <w:rPr>
          <w:rFonts w:ascii="Arial" w:hAnsi="Arial" w:cs="Arial"/>
          <w:b/>
          <w:sz w:val="24"/>
          <w:szCs w:val="24"/>
        </w:rPr>
        <w:t>E</w:t>
      </w:r>
      <w:r>
        <w:rPr>
          <w:rFonts w:ascii="Arial" w:hAnsi="Arial" w:cs="Arial"/>
          <w:b/>
          <w:position w:val="-24"/>
          <w:sz w:val="24"/>
          <w:szCs w:val="24"/>
        </w:rPr>
        <w:t xml:space="preserve"> </w:t>
      </w:r>
      <w:r>
        <w:rPr>
          <w:rFonts w:ascii="Arial" w:hAnsi="Arial" w:cs="Arial"/>
          <w:b/>
          <w:sz w:val="24"/>
          <w:szCs w:val="24"/>
        </w:rPr>
        <w:t>GERENCIAMENTO</w:t>
      </w:r>
    </w:p>
    <w:p>
      <w:pPr>
        <w:pStyle w:val="10"/>
        <w:spacing w:after="0" w:line="360" w:lineRule="auto"/>
        <w:ind w:left="0"/>
        <w:jc w:val="both"/>
        <w:rPr>
          <w:rFonts w:ascii="Arial" w:hAnsi="Arial" w:cs="Arial"/>
          <w:sz w:val="24"/>
          <w:szCs w:val="24"/>
        </w:rPr>
      </w:pPr>
      <w:r>
        <w:rPr>
          <w:rFonts w:ascii="Arial" w:hAnsi="Arial" w:cs="Arial"/>
          <w:sz w:val="24"/>
          <w:szCs w:val="24"/>
        </w:rPr>
        <w:t>O Eng</w:t>
      </w:r>
      <w:r>
        <w:rPr>
          <w:rFonts w:hint="default" w:ascii="Arial" w:hAnsi="Arial" w:cs="Arial"/>
          <w:sz w:val="24"/>
          <w:szCs w:val="24"/>
          <w:lang w:val="pt-BR"/>
        </w:rPr>
        <w:t>enheiro</w:t>
      </w:r>
      <w:r>
        <w:rPr>
          <w:rFonts w:ascii="Arial" w:hAnsi="Arial" w:cs="Arial"/>
          <w:sz w:val="24"/>
          <w:szCs w:val="24"/>
        </w:rPr>
        <w:t xml:space="preserve"> Civil </w:t>
      </w:r>
      <w:r>
        <w:rPr>
          <w:rFonts w:hint="default" w:ascii="Arial" w:hAnsi="Arial" w:cs="Arial"/>
          <w:sz w:val="24"/>
          <w:szCs w:val="24"/>
          <w:lang w:val="pt-BR"/>
        </w:rPr>
        <w:t>Pedro Abreu Pereira</w:t>
      </w:r>
      <w:r>
        <w:rPr>
          <w:rFonts w:ascii="Arial" w:hAnsi="Arial" w:cs="Arial"/>
          <w:sz w:val="24"/>
          <w:szCs w:val="24"/>
        </w:rPr>
        <w:t xml:space="preserve"> será o representante da municipalidade para o gerenciamento, acompanhamento e fiscalização da obra, por designação da secretaria de Obras e Infraestrutura.</w:t>
      </w:r>
    </w:p>
    <w:p>
      <w:pPr>
        <w:pStyle w:val="10"/>
        <w:spacing w:after="0" w:line="360" w:lineRule="auto"/>
        <w:ind w:left="0"/>
        <w:jc w:val="both"/>
        <w:rPr>
          <w:rFonts w:ascii="Arial" w:hAnsi="Arial" w:cs="Arial"/>
          <w:sz w:val="24"/>
          <w:szCs w:val="24"/>
        </w:rPr>
      </w:pPr>
    </w:p>
    <w:p>
      <w:pPr>
        <w:pStyle w:val="10"/>
        <w:numPr>
          <w:ilvl w:val="0"/>
          <w:numId w:val="1"/>
        </w:numPr>
        <w:spacing w:after="0" w:line="360" w:lineRule="auto"/>
        <w:ind w:left="0" w:hanging="357"/>
        <w:jc w:val="both"/>
        <w:rPr>
          <w:rFonts w:ascii="Arial" w:hAnsi="Arial" w:cs="Arial"/>
          <w:sz w:val="24"/>
          <w:szCs w:val="24"/>
        </w:rPr>
      </w:pPr>
      <w:r>
        <w:rPr>
          <w:rFonts w:ascii="Arial" w:hAnsi="Arial" w:cs="Arial"/>
          <w:b/>
          <w:sz w:val="24"/>
          <w:szCs w:val="24"/>
        </w:rPr>
        <w:t>FORMA DE PAGAMENTO</w:t>
      </w:r>
    </w:p>
    <w:p>
      <w:pPr>
        <w:spacing w:after="0" w:line="360" w:lineRule="auto"/>
        <w:jc w:val="both"/>
        <w:rPr>
          <w:rFonts w:ascii="Arial" w:hAnsi="Arial" w:cs="Arial"/>
          <w:sz w:val="24"/>
          <w:szCs w:val="24"/>
        </w:rPr>
      </w:pPr>
      <w:r>
        <w:rPr>
          <w:rFonts w:ascii="Arial" w:hAnsi="Arial" w:cs="Arial"/>
          <w:sz w:val="24"/>
          <w:szCs w:val="24"/>
        </w:rPr>
        <w:t>As medições serão feitas de acordo com o seguinte procedimento:</w:t>
      </w:r>
    </w:p>
    <w:p>
      <w:pPr>
        <w:spacing w:after="0" w:line="360" w:lineRule="auto"/>
        <w:jc w:val="both"/>
        <w:rPr>
          <w:rFonts w:ascii="Arial" w:hAnsi="Arial" w:cs="Arial"/>
          <w:sz w:val="24"/>
          <w:szCs w:val="24"/>
        </w:rPr>
      </w:pPr>
    </w:p>
    <w:p>
      <w:pPr>
        <w:numPr>
          <w:ilvl w:val="0"/>
          <w:numId w:val="4"/>
        </w:numPr>
        <w:spacing w:after="0" w:line="360" w:lineRule="auto"/>
        <w:jc w:val="both"/>
        <w:rPr>
          <w:rFonts w:ascii="Arial" w:hAnsi="Arial" w:cs="Arial"/>
          <w:sz w:val="24"/>
          <w:szCs w:val="24"/>
        </w:rPr>
      </w:pPr>
      <w:r>
        <w:rPr>
          <w:rFonts w:ascii="Arial" w:hAnsi="Arial" w:cs="Arial"/>
          <w:sz w:val="24"/>
          <w:szCs w:val="24"/>
        </w:rPr>
        <w:t>Apresentação da medição pela contratada à Secretaria Municipal de Obras e Infraestrutura, devidamente protocolada, contendo:</w:t>
      </w:r>
    </w:p>
    <w:p>
      <w:pPr>
        <w:spacing w:after="0" w:line="360" w:lineRule="auto"/>
        <w:jc w:val="both"/>
        <w:rPr>
          <w:rFonts w:ascii="Arial" w:hAnsi="Arial" w:cs="Arial"/>
          <w:sz w:val="24"/>
          <w:szCs w:val="24"/>
        </w:rPr>
      </w:pPr>
    </w:p>
    <w:p>
      <w:pPr>
        <w:spacing w:after="0" w:line="360" w:lineRule="auto"/>
        <w:jc w:val="both"/>
        <w:rPr>
          <w:rFonts w:ascii="Arial" w:hAnsi="Arial" w:cs="Arial"/>
          <w:sz w:val="24"/>
          <w:szCs w:val="24"/>
        </w:rPr>
      </w:pPr>
      <w:r>
        <w:rPr>
          <w:rFonts w:ascii="Arial" w:hAnsi="Arial" w:cs="Arial"/>
          <w:sz w:val="24"/>
          <w:szCs w:val="24"/>
        </w:rPr>
        <w:t>1. Boletim da medição solicitada;</w:t>
      </w:r>
    </w:p>
    <w:p>
      <w:pPr>
        <w:spacing w:after="0" w:line="360" w:lineRule="auto"/>
        <w:jc w:val="both"/>
        <w:rPr>
          <w:rFonts w:ascii="Arial" w:hAnsi="Arial" w:cs="Arial"/>
          <w:sz w:val="24"/>
          <w:szCs w:val="24"/>
        </w:rPr>
      </w:pPr>
      <w:r>
        <w:rPr>
          <w:rFonts w:ascii="Arial" w:hAnsi="Arial" w:cs="Arial"/>
          <w:sz w:val="24"/>
          <w:szCs w:val="24"/>
        </w:rPr>
        <w:t>2. Relatório fotográfico</w:t>
      </w:r>
      <w:r>
        <w:rPr>
          <w:rFonts w:hint="default" w:ascii="Arial" w:hAnsi="Arial" w:cs="Arial"/>
          <w:sz w:val="24"/>
          <w:szCs w:val="24"/>
          <w:lang w:val="pt-BR"/>
        </w:rPr>
        <w:t>, com fotos de cada item medido</w:t>
      </w:r>
      <w:r>
        <w:rPr>
          <w:rFonts w:ascii="Arial" w:hAnsi="Arial" w:cs="Arial"/>
          <w:sz w:val="24"/>
          <w:szCs w:val="24"/>
        </w:rPr>
        <w:t>;</w:t>
      </w:r>
    </w:p>
    <w:p>
      <w:pPr>
        <w:spacing w:after="0" w:line="360" w:lineRule="auto"/>
        <w:jc w:val="both"/>
        <w:rPr>
          <w:rFonts w:ascii="Arial" w:hAnsi="Arial" w:cs="Arial"/>
          <w:sz w:val="24"/>
          <w:szCs w:val="24"/>
        </w:rPr>
      </w:pPr>
      <w:r>
        <w:rPr>
          <w:rFonts w:ascii="Arial" w:hAnsi="Arial" w:cs="Arial"/>
          <w:sz w:val="24"/>
          <w:szCs w:val="24"/>
        </w:rPr>
        <w:t>3. Cronograma físico financeiro atualizado;</w:t>
      </w:r>
    </w:p>
    <w:p>
      <w:pPr>
        <w:spacing w:after="0" w:line="360" w:lineRule="auto"/>
        <w:jc w:val="both"/>
        <w:rPr>
          <w:rFonts w:ascii="Arial" w:hAnsi="Arial" w:cs="Arial"/>
          <w:sz w:val="24"/>
          <w:szCs w:val="24"/>
        </w:rPr>
      </w:pPr>
      <w:r>
        <w:rPr>
          <w:rFonts w:ascii="Arial" w:hAnsi="Arial" w:cs="Arial"/>
          <w:sz w:val="24"/>
          <w:szCs w:val="24"/>
        </w:rPr>
        <w:t>4. Diário de obras (do período valido da medição);</w:t>
      </w:r>
    </w:p>
    <w:p>
      <w:pPr>
        <w:spacing w:after="0" w:line="360" w:lineRule="auto"/>
        <w:jc w:val="both"/>
        <w:rPr>
          <w:rFonts w:ascii="Arial" w:hAnsi="Arial" w:cs="Arial"/>
          <w:sz w:val="24"/>
          <w:szCs w:val="24"/>
        </w:rPr>
      </w:pPr>
      <w:r>
        <w:rPr>
          <w:rFonts w:ascii="Arial" w:hAnsi="Arial" w:cs="Arial"/>
          <w:sz w:val="24"/>
          <w:szCs w:val="24"/>
        </w:rPr>
        <w:t>5. Relatórios de ensaios do controle geotécnico quando for o caso;</w:t>
      </w:r>
    </w:p>
    <w:p>
      <w:pPr>
        <w:spacing w:after="0" w:line="360" w:lineRule="auto"/>
        <w:jc w:val="both"/>
        <w:rPr>
          <w:rFonts w:ascii="Arial" w:hAnsi="Arial" w:cs="Arial"/>
          <w:sz w:val="24"/>
          <w:szCs w:val="24"/>
        </w:rPr>
      </w:pPr>
      <w:r>
        <w:rPr>
          <w:rFonts w:ascii="Arial" w:hAnsi="Arial" w:cs="Arial"/>
          <w:sz w:val="24"/>
          <w:szCs w:val="24"/>
        </w:rPr>
        <w:t>6. Comprovação de regularidade fiscal e trabalhista</w:t>
      </w:r>
    </w:p>
    <w:p>
      <w:pPr>
        <w:spacing w:after="0" w:line="360" w:lineRule="auto"/>
        <w:jc w:val="both"/>
        <w:rPr>
          <w:rFonts w:ascii="Arial" w:hAnsi="Arial" w:cs="Arial"/>
          <w:sz w:val="24"/>
          <w:szCs w:val="24"/>
        </w:rPr>
      </w:pPr>
    </w:p>
    <w:p>
      <w:pPr>
        <w:spacing w:after="0" w:line="360" w:lineRule="auto"/>
        <w:jc w:val="both"/>
        <w:rPr>
          <w:rFonts w:ascii="Arial" w:hAnsi="Arial" w:cs="Arial"/>
          <w:sz w:val="24"/>
          <w:szCs w:val="24"/>
        </w:rPr>
      </w:pPr>
      <w:r>
        <w:rPr>
          <w:rFonts w:ascii="Arial" w:hAnsi="Arial" w:cs="Arial"/>
          <w:sz w:val="24"/>
          <w:szCs w:val="24"/>
        </w:rPr>
        <w:t>b) Caso falte algum dos documentos citados no item anterior na entrega da medição, esta será devolvida à Contratada para seus devidos acertos e complementações;</w:t>
      </w:r>
    </w:p>
    <w:p>
      <w:pPr>
        <w:spacing w:after="0" w:line="360" w:lineRule="auto"/>
        <w:jc w:val="both"/>
        <w:rPr>
          <w:rFonts w:ascii="Arial" w:hAnsi="Arial" w:cs="Arial"/>
          <w:sz w:val="24"/>
          <w:szCs w:val="24"/>
        </w:rPr>
      </w:pPr>
    </w:p>
    <w:p>
      <w:pPr>
        <w:numPr>
          <w:ilvl w:val="0"/>
          <w:numId w:val="2"/>
        </w:numPr>
        <w:spacing w:after="0" w:line="360" w:lineRule="auto"/>
        <w:jc w:val="both"/>
        <w:rPr>
          <w:rFonts w:ascii="Arial" w:hAnsi="Arial" w:cs="Arial"/>
          <w:sz w:val="24"/>
          <w:szCs w:val="24"/>
        </w:rPr>
      </w:pPr>
      <w:r>
        <w:rPr>
          <w:rFonts w:ascii="Arial" w:hAnsi="Arial" w:cs="Arial"/>
          <w:sz w:val="24"/>
          <w:szCs w:val="24"/>
        </w:rPr>
        <w:t>O prazo para a liquidação da medição dependerá da entrega de toda a documentação comprobatório de regularidade fiscal e trabalhista por parte da empresa;</w:t>
      </w:r>
    </w:p>
    <w:p>
      <w:pPr>
        <w:spacing w:after="0" w:line="360" w:lineRule="auto"/>
        <w:jc w:val="both"/>
        <w:rPr>
          <w:rFonts w:ascii="Arial" w:hAnsi="Arial" w:cs="Arial"/>
          <w:sz w:val="24"/>
          <w:szCs w:val="24"/>
        </w:rPr>
      </w:pPr>
    </w:p>
    <w:p>
      <w:pPr>
        <w:numPr>
          <w:ilvl w:val="0"/>
          <w:numId w:val="2"/>
        </w:numPr>
        <w:spacing w:after="0" w:line="360" w:lineRule="auto"/>
        <w:jc w:val="both"/>
        <w:rPr>
          <w:rFonts w:ascii="Arial" w:hAnsi="Arial" w:cs="Arial"/>
          <w:sz w:val="24"/>
          <w:szCs w:val="24"/>
        </w:rPr>
      </w:pPr>
      <w:r>
        <w:rPr>
          <w:rFonts w:ascii="Arial" w:hAnsi="Arial" w:cs="Arial"/>
          <w:sz w:val="24"/>
          <w:szCs w:val="24"/>
        </w:rPr>
        <w:t>A Municipalidade após ateste da medição e de toda a documentação comprobatório de regularidade fiscal e trabalhista tem até 30 dias para realizar a devida liquidação da Nota Fiscal, salvo em caso de calamidade pública, grave perturbação da ordem interna ou guerra.</w:t>
      </w:r>
    </w:p>
    <w:p>
      <w:pPr>
        <w:spacing w:after="0" w:line="360" w:lineRule="auto"/>
        <w:jc w:val="both"/>
        <w:rPr>
          <w:rFonts w:ascii="Arial" w:hAnsi="Arial" w:cs="Arial"/>
          <w:sz w:val="24"/>
          <w:szCs w:val="24"/>
        </w:rPr>
      </w:pPr>
    </w:p>
    <w:p>
      <w:pPr>
        <w:numPr>
          <w:ilvl w:val="0"/>
          <w:numId w:val="2"/>
        </w:numPr>
        <w:spacing w:after="0" w:line="360" w:lineRule="auto"/>
        <w:jc w:val="both"/>
        <w:rPr>
          <w:rFonts w:ascii="Arial" w:hAnsi="Arial" w:cs="Arial"/>
          <w:sz w:val="24"/>
          <w:szCs w:val="24"/>
        </w:rPr>
      </w:pPr>
      <w:r>
        <w:rPr>
          <w:rFonts w:ascii="Arial" w:hAnsi="Arial" w:cs="Arial"/>
          <w:sz w:val="24"/>
          <w:szCs w:val="24"/>
        </w:rPr>
        <w:t xml:space="preserve">Para a primeira medição será exigida a apresentação alem das documentações comprobatórios de regularidade fiscal da empresa, a apresentação do CNO - Cadastro Nacional de Obras, referente ao empreendimento contratado, a ART/RRT de execução do empreendimento do responsável técnico da empresa, </w:t>
      </w:r>
      <w:r>
        <w:rPr>
          <w:rFonts w:ascii="Arial" w:hAnsi="Arial" w:cs="Arial"/>
          <w:sz w:val="24"/>
          <w:szCs w:val="24"/>
          <w:u w:val="single"/>
        </w:rPr>
        <w:t>a curva ABC atualizada conforme a proposta vencedora e também as composições de custos unitários dos itens presentes na faixa A da referida curva ABC</w:t>
      </w:r>
      <w:r>
        <w:rPr>
          <w:rFonts w:ascii="Arial" w:hAnsi="Arial" w:cs="Arial"/>
          <w:sz w:val="24"/>
          <w:szCs w:val="24"/>
        </w:rPr>
        <w:t>.</w:t>
      </w:r>
    </w:p>
    <w:p>
      <w:pPr>
        <w:spacing w:after="0" w:line="360" w:lineRule="auto"/>
        <w:jc w:val="both"/>
        <w:rPr>
          <w:rFonts w:ascii="Arial" w:hAnsi="Arial" w:cs="Arial"/>
          <w:sz w:val="24"/>
          <w:szCs w:val="24"/>
        </w:rPr>
      </w:pPr>
    </w:p>
    <w:p>
      <w:pPr>
        <w:pStyle w:val="10"/>
        <w:numPr>
          <w:ilvl w:val="0"/>
          <w:numId w:val="1"/>
        </w:numPr>
        <w:spacing w:after="0" w:line="360" w:lineRule="auto"/>
        <w:ind w:left="0" w:hanging="357"/>
        <w:jc w:val="both"/>
        <w:rPr>
          <w:rFonts w:ascii="Arial" w:hAnsi="Arial" w:cs="Arial"/>
          <w:sz w:val="24"/>
          <w:szCs w:val="24"/>
        </w:rPr>
      </w:pPr>
      <w:r>
        <w:rPr>
          <w:rFonts w:ascii="Arial" w:hAnsi="Arial" w:cs="Arial"/>
          <w:b/>
          <w:sz w:val="24"/>
          <w:szCs w:val="24"/>
        </w:rPr>
        <w:t>MODALIDADE DE AQUISIÇÃO</w:t>
      </w:r>
    </w:p>
    <w:p>
      <w:pPr>
        <w:spacing w:after="0" w:line="360" w:lineRule="auto"/>
        <w:jc w:val="both"/>
        <w:rPr>
          <w:rFonts w:ascii="Arial" w:hAnsi="Arial" w:cs="Arial"/>
          <w:sz w:val="24"/>
          <w:szCs w:val="24"/>
        </w:rPr>
      </w:pPr>
      <w:r>
        <w:rPr>
          <w:rFonts w:ascii="Arial" w:hAnsi="Arial" w:cs="Arial"/>
          <w:sz w:val="24"/>
          <w:szCs w:val="24"/>
        </w:rPr>
        <w:t>A Municipalidade decidiu por questões operacionais e técnicas que o regime de empreitada por preço unitário é o que melhor atende aos seus interesses.</w:t>
      </w:r>
    </w:p>
    <w:p>
      <w:pPr>
        <w:spacing w:after="0" w:line="360" w:lineRule="auto"/>
        <w:jc w:val="both"/>
        <w:rPr>
          <w:rFonts w:ascii="Arial" w:hAnsi="Arial" w:cs="Arial"/>
          <w:sz w:val="24"/>
          <w:szCs w:val="24"/>
        </w:rPr>
      </w:pPr>
    </w:p>
    <w:p>
      <w:pPr>
        <w:spacing w:after="0" w:line="360" w:lineRule="auto"/>
        <w:jc w:val="both"/>
        <w:rPr>
          <w:rFonts w:ascii="Arial" w:hAnsi="Arial" w:cs="Arial"/>
          <w:sz w:val="24"/>
          <w:szCs w:val="24"/>
        </w:rPr>
      </w:pPr>
      <w:r>
        <w:rPr>
          <w:rFonts w:ascii="Arial" w:hAnsi="Arial" w:cs="Arial"/>
          <w:sz w:val="24"/>
          <w:szCs w:val="24"/>
        </w:rPr>
        <w:t xml:space="preserve">Será considerada mais vantajosa a proposta da empresa que oferecer o menor preço. </w:t>
      </w:r>
    </w:p>
    <w:p>
      <w:pPr>
        <w:spacing w:after="0" w:line="360" w:lineRule="auto"/>
        <w:jc w:val="both"/>
        <w:rPr>
          <w:rFonts w:ascii="Arial" w:hAnsi="Arial" w:cs="Arial"/>
          <w:sz w:val="24"/>
          <w:szCs w:val="24"/>
        </w:rPr>
      </w:pPr>
    </w:p>
    <w:p>
      <w:pPr>
        <w:spacing w:after="0" w:line="360" w:lineRule="auto"/>
        <w:jc w:val="both"/>
        <w:rPr>
          <w:rFonts w:ascii="Arial" w:hAnsi="Arial" w:cs="Arial"/>
          <w:sz w:val="24"/>
          <w:szCs w:val="24"/>
        </w:rPr>
      </w:pPr>
      <w:r>
        <w:rPr>
          <w:rFonts w:ascii="Arial" w:hAnsi="Arial" w:cs="Arial"/>
          <w:sz w:val="24"/>
          <w:szCs w:val="24"/>
        </w:rPr>
        <w:t>As propostas terão validade de 60 (sessenta) dias, contados da data de abertura da sessão pública estabelecida no Edital.</w:t>
      </w:r>
    </w:p>
    <w:p>
      <w:pPr>
        <w:spacing w:after="0" w:line="360" w:lineRule="auto"/>
        <w:jc w:val="both"/>
        <w:rPr>
          <w:rFonts w:ascii="Arial" w:hAnsi="Arial" w:cs="Arial"/>
          <w:sz w:val="24"/>
          <w:szCs w:val="24"/>
        </w:rPr>
      </w:pPr>
    </w:p>
    <w:p>
      <w:pPr>
        <w:pStyle w:val="10"/>
        <w:spacing w:after="0" w:line="360" w:lineRule="auto"/>
        <w:ind w:left="0"/>
        <w:jc w:val="both"/>
        <w:rPr>
          <w:rFonts w:ascii="Arial" w:hAnsi="Arial" w:cs="Arial"/>
          <w:sz w:val="24"/>
          <w:szCs w:val="24"/>
        </w:rPr>
      </w:pPr>
      <w:r>
        <w:rPr>
          <w:rFonts w:ascii="Arial" w:hAnsi="Arial" w:cs="Arial"/>
          <w:sz w:val="24"/>
          <w:szCs w:val="24"/>
        </w:rPr>
        <w:t>Os preços unitários informados pela Municipalidade são considerados como máximos, devendo, portanto, a planilha orçamentaria da empresa possuir valores inferiores ou no máximo iguais aos orçados pela Municipalidade.</w:t>
      </w:r>
    </w:p>
    <w:p>
      <w:pPr>
        <w:pStyle w:val="10"/>
        <w:spacing w:after="0" w:line="360" w:lineRule="auto"/>
        <w:ind w:left="0"/>
        <w:jc w:val="both"/>
        <w:rPr>
          <w:rFonts w:ascii="Arial" w:hAnsi="Arial" w:cs="Arial"/>
          <w:sz w:val="24"/>
          <w:szCs w:val="24"/>
        </w:rPr>
      </w:pPr>
    </w:p>
    <w:p>
      <w:pPr>
        <w:pStyle w:val="10"/>
        <w:numPr>
          <w:ilvl w:val="0"/>
          <w:numId w:val="1"/>
        </w:numPr>
        <w:spacing w:after="0" w:line="360" w:lineRule="auto"/>
        <w:ind w:left="0" w:hanging="357"/>
        <w:jc w:val="both"/>
        <w:rPr>
          <w:rFonts w:ascii="Arial" w:hAnsi="Arial" w:cs="Arial"/>
          <w:sz w:val="24"/>
          <w:szCs w:val="24"/>
        </w:rPr>
      </w:pPr>
      <w:r>
        <w:rPr>
          <w:rFonts w:ascii="Arial" w:hAnsi="Arial" w:cs="Arial"/>
          <w:b/>
          <w:sz w:val="24"/>
          <w:szCs w:val="24"/>
        </w:rPr>
        <w:t>DAS SANÇÕES ADMINISTRATIVAS</w:t>
      </w:r>
    </w:p>
    <w:p>
      <w:pPr>
        <w:pStyle w:val="10"/>
        <w:spacing w:after="0" w:line="360" w:lineRule="auto"/>
        <w:ind w:left="0"/>
        <w:jc w:val="both"/>
        <w:rPr>
          <w:rFonts w:ascii="Arial" w:hAnsi="Arial" w:cs="Arial"/>
          <w:sz w:val="24"/>
          <w:szCs w:val="24"/>
        </w:rPr>
      </w:pPr>
      <w:r>
        <w:rPr>
          <w:rFonts w:ascii="Arial" w:hAnsi="Arial" w:cs="Arial"/>
          <w:sz w:val="24"/>
          <w:szCs w:val="24"/>
        </w:rPr>
        <w:t>A serem estabelecidas conforme contrato padrão da prefeitura.</w:t>
      </w:r>
    </w:p>
    <w:p>
      <w:pPr>
        <w:pStyle w:val="10"/>
        <w:spacing w:after="0" w:line="360" w:lineRule="auto"/>
        <w:ind w:left="0"/>
        <w:jc w:val="both"/>
        <w:rPr>
          <w:rFonts w:ascii="Arial" w:hAnsi="Arial" w:cs="Arial"/>
          <w:sz w:val="24"/>
          <w:szCs w:val="24"/>
        </w:rPr>
      </w:pPr>
    </w:p>
    <w:p>
      <w:pPr>
        <w:pStyle w:val="10"/>
        <w:numPr>
          <w:ilvl w:val="0"/>
          <w:numId w:val="1"/>
        </w:numPr>
        <w:spacing w:after="0" w:line="360" w:lineRule="auto"/>
        <w:ind w:left="0" w:hanging="357"/>
        <w:jc w:val="both"/>
        <w:rPr>
          <w:rFonts w:ascii="Arial" w:hAnsi="Arial" w:cs="Arial"/>
          <w:sz w:val="24"/>
          <w:szCs w:val="24"/>
        </w:rPr>
      </w:pPr>
      <w:r>
        <w:rPr>
          <w:rFonts w:ascii="Arial" w:hAnsi="Arial" w:cs="Arial"/>
          <w:b/>
          <w:sz w:val="24"/>
          <w:szCs w:val="24"/>
        </w:rPr>
        <w:t>DOS CRITÉRIOS DE ACEITABILIDADE</w:t>
      </w:r>
    </w:p>
    <w:p>
      <w:pPr>
        <w:spacing w:after="0" w:line="360" w:lineRule="auto"/>
        <w:jc w:val="both"/>
        <w:rPr>
          <w:rFonts w:ascii="Arial" w:hAnsi="Arial" w:cs="Arial"/>
          <w:sz w:val="24"/>
          <w:szCs w:val="24"/>
        </w:rPr>
      </w:pPr>
      <w:r>
        <w:rPr>
          <w:rFonts w:ascii="Arial" w:hAnsi="Arial" w:cs="Arial"/>
          <w:sz w:val="24"/>
          <w:szCs w:val="24"/>
        </w:rPr>
        <w:t>As obras deverão ser executadas como definido nos projetos e, ao fim dos serviços, serão atestadas através do comprovante de funcionalidade emitido pelo Fiscal de Obra (termo de recebimento provisório). Prazo de garantia de cinco anos, conforme estabelecido na Lei 8.666.</w:t>
      </w:r>
    </w:p>
    <w:p>
      <w:pPr>
        <w:spacing w:after="0" w:line="360" w:lineRule="auto"/>
        <w:jc w:val="both"/>
        <w:rPr>
          <w:rFonts w:ascii="Arial" w:hAnsi="Arial" w:cs="Arial"/>
          <w:sz w:val="24"/>
          <w:szCs w:val="24"/>
        </w:rPr>
      </w:pPr>
    </w:p>
    <w:p>
      <w:pPr>
        <w:spacing w:after="0" w:line="360" w:lineRule="auto"/>
        <w:jc w:val="both"/>
        <w:rPr>
          <w:rFonts w:ascii="Arial" w:hAnsi="Arial" w:cs="Arial"/>
          <w:sz w:val="24"/>
          <w:szCs w:val="24"/>
        </w:rPr>
      </w:pPr>
    </w:p>
    <w:p>
      <w:pPr>
        <w:pStyle w:val="10"/>
        <w:numPr>
          <w:ilvl w:val="0"/>
          <w:numId w:val="1"/>
        </w:numPr>
        <w:spacing w:after="0" w:line="360" w:lineRule="auto"/>
        <w:ind w:left="0" w:hanging="357"/>
        <w:jc w:val="both"/>
        <w:rPr>
          <w:rFonts w:ascii="Arial" w:hAnsi="Arial" w:cs="Arial"/>
          <w:b/>
          <w:sz w:val="24"/>
          <w:szCs w:val="24"/>
        </w:rPr>
      </w:pPr>
      <w:r>
        <w:rPr>
          <w:rFonts w:ascii="Arial" w:hAnsi="Arial" w:cs="Arial"/>
          <w:b/>
          <w:sz w:val="24"/>
          <w:szCs w:val="24"/>
        </w:rPr>
        <w:t>RESPONSÁVEL PELA FISCALIZAÇÃO DO CONTRATO</w:t>
      </w:r>
    </w:p>
    <w:p>
      <w:pPr>
        <w:spacing w:after="0" w:line="360" w:lineRule="auto"/>
        <w:jc w:val="both"/>
        <w:rPr>
          <w:rFonts w:ascii="Arial" w:hAnsi="Arial" w:cs="Arial"/>
          <w:sz w:val="24"/>
          <w:szCs w:val="24"/>
          <w:highlight w:val="none"/>
        </w:rPr>
      </w:pPr>
      <w:r>
        <w:rPr>
          <w:rFonts w:ascii="Arial" w:hAnsi="Arial" w:cs="Arial"/>
          <w:sz w:val="24"/>
          <w:szCs w:val="24"/>
          <w:highlight w:val="none"/>
        </w:rPr>
        <w:t xml:space="preserve">Fica indicado o servidor </w:t>
      </w:r>
      <w:r>
        <w:rPr>
          <w:rFonts w:hint="default" w:ascii="Arial" w:hAnsi="Arial" w:cs="Arial"/>
          <w:sz w:val="24"/>
          <w:szCs w:val="24"/>
          <w:highlight w:val="none"/>
          <w:lang w:val="pt-BR"/>
        </w:rPr>
        <w:t>W</w:t>
      </w:r>
      <w:r>
        <w:rPr>
          <w:rFonts w:hint="default" w:ascii="Arial" w:hAnsi="Arial"/>
          <w:sz w:val="24"/>
          <w:szCs w:val="24"/>
          <w:highlight w:val="none"/>
        </w:rPr>
        <w:t xml:space="preserve">illian </w:t>
      </w:r>
      <w:r>
        <w:rPr>
          <w:rFonts w:hint="default" w:ascii="Arial" w:hAnsi="Arial"/>
          <w:sz w:val="24"/>
          <w:szCs w:val="24"/>
          <w:highlight w:val="none"/>
          <w:lang w:val="pt-BR"/>
        </w:rPr>
        <w:t>C</w:t>
      </w:r>
      <w:r>
        <w:rPr>
          <w:rFonts w:hint="default" w:ascii="Arial" w:hAnsi="Arial"/>
          <w:sz w:val="24"/>
          <w:szCs w:val="24"/>
          <w:highlight w:val="none"/>
        </w:rPr>
        <w:t xml:space="preserve">esar </w:t>
      </w:r>
      <w:r>
        <w:rPr>
          <w:rFonts w:hint="default" w:ascii="Arial" w:hAnsi="Arial"/>
          <w:sz w:val="24"/>
          <w:szCs w:val="24"/>
          <w:highlight w:val="none"/>
          <w:lang w:val="pt-BR"/>
        </w:rPr>
        <w:t>C</w:t>
      </w:r>
      <w:r>
        <w:rPr>
          <w:rFonts w:hint="default" w:ascii="Arial" w:hAnsi="Arial"/>
          <w:sz w:val="24"/>
          <w:szCs w:val="24"/>
          <w:highlight w:val="none"/>
        </w:rPr>
        <w:t>iurlleti</w:t>
      </w:r>
      <w:r>
        <w:rPr>
          <w:rFonts w:ascii="Arial" w:hAnsi="Arial" w:cs="Arial"/>
          <w:sz w:val="24"/>
          <w:szCs w:val="24"/>
          <w:highlight w:val="none"/>
        </w:rPr>
        <w:t xml:space="preserve">, </w:t>
      </w:r>
      <w:r>
        <w:rPr>
          <w:rFonts w:hint="default" w:ascii="Arial" w:hAnsi="Arial" w:cs="Arial"/>
          <w:sz w:val="24"/>
          <w:szCs w:val="24"/>
          <w:highlight w:val="none"/>
          <w:lang w:val="pt-BR"/>
        </w:rPr>
        <w:t>Agente Fiscal</w:t>
      </w:r>
      <w:r>
        <w:rPr>
          <w:rFonts w:ascii="Arial" w:hAnsi="Arial" w:cs="Arial"/>
          <w:sz w:val="24"/>
          <w:szCs w:val="24"/>
          <w:highlight w:val="none"/>
        </w:rPr>
        <w:t xml:space="preserve">, como fiscal do contrato e como fiscal substituto fica indicado </w:t>
      </w:r>
      <w:r>
        <w:rPr>
          <w:rFonts w:hint="default" w:ascii="Arial" w:hAnsi="Arial" w:cs="Arial"/>
          <w:sz w:val="24"/>
          <w:szCs w:val="24"/>
          <w:highlight w:val="none"/>
          <w:lang w:val="pt-BR"/>
        </w:rPr>
        <w:t>o Técnico</w:t>
      </w:r>
      <w:r>
        <w:rPr>
          <w:rFonts w:ascii="Arial" w:hAnsi="Arial" w:cs="Arial"/>
          <w:sz w:val="24"/>
          <w:szCs w:val="24"/>
          <w:highlight w:val="none"/>
        </w:rPr>
        <w:t xml:space="preserve"> </w:t>
      </w:r>
      <w:r>
        <w:rPr>
          <w:rFonts w:hint="default" w:ascii="Arial" w:hAnsi="Arial" w:cs="Arial"/>
          <w:sz w:val="24"/>
          <w:szCs w:val="24"/>
          <w:highlight w:val="none"/>
          <w:lang w:val="pt-BR"/>
        </w:rPr>
        <w:t>Clysteres de Freitas</w:t>
      </w:r>
      <w:r>
        <w:rPr>
          <w:rFonts w:ascii="Arial" w:hAnsi="Arial" w:cs="Arial"/>
          <w:sz w:val="24"/>
          <w:szCs w:val="24"/>
          <w:highlight w:val="none"/>
        </w:rPr>
        <w:t>. Telefone: (27) 3263-4809 e e-mail: obras@pmsmj.es.gov.br.</w:t>
      </w:r>
    </w:p>
    <w:p>
      <w:pPr>
        <w:spacing w:after="0" w:line="360" w:lineRule="auto"/>
        <w:jc w:val="both"/>
        <w:rPr>
          <w:rFonts w:ascii="Arial" w:hAnsi="Arial" w:cs="Arial"/>
          <w:sz w:val="24"/>
          <w:szCs w:val="24"/>
        </w:rPr>
      </w:pPr>
    </w:p>
    <w:p>
      <w:pPr>
        <w:pStyle w:val="10"/>
        <w:numPr>
          <w:ilvl w:val="0"/>
          <w:numId w:val="1"/>
        </w:numPr>
        <w:spacing w:after="0" w:line="360" w:lineRule="auto"/>
        <w:ind w:left="0" w:hanging="357"/>
        <w:jc w:val="both"/>
        <w:rPr>
          <w:rFonts w:ascii="Arial" w:hAnsi="Arial" w:cs="Arial"/>
          <w:b/>
          <w:sz w:val="24"/>
          <w:szCs w:val="24"/>
        </w:rPr>
      </w:pPr>
      <w:r>
        <w:rPr>
          <w:rFonts w:ascii="Arial" w:hAnsi="Arial" w:cs="Arial"/>
          <w:b/>
          <w:sz w:val="24"/>
          <w:szCs w:val="24"/>
        </w:rPr>
        <w:t>RESPONSÁVEL PELA ELABORAÇÃO DO TERMO DE REFERENCIA</w:t>
      </w:r>
    </w:p>
    <w:p>
      <w:pPr>
        <w:spacing w:after="0" w:line="360" w:lineRule="auto"/>
        <w:jc w:val="both"/>
        <w:rPr>
          <w:rFonts w:ascii="Arial" w:hAnsi="Arial" w:cs="Arial"/>
          <w:sz w:val="24"/>
          <w:szCs w:val="24"/>
        </w:rPr>
      </w:pPr>
      <w:r>
        <w:rPr>
          <w:rFonts w:ascii="Arial" w:hAnsi="Arial" w:cs="Arial"/>
          <w:sz w:val="24"/>
          <w:szCs w:val="24"/>
        </w:rPr>
        <w:t>Pedro Abreu Pereira, Engenheiro Civil, MATRICULA: 053149.</w:t>
      </w:r>
    </w:p>
    <w:p>
      <w:pPr>
        <w:spacing w:after="0" w:line="360" w:lineRule="auto"/>
        <w:jc w:val="both"/>
        <w:rPr>
          <w:rFonts w:ascii="Arial" w:hAnsi="Arial" w:eastAsia="SimSun" w:cs="Arial"/>
          <w:b/>
          <w:sz w:val="24"/>
          <w:szCs w:val="24"/>
          <w:lang w:eastAsia="pt-BR"/>
        </w:rPr>
      </w:pPr>
    </w:p>
    <w:p>
      <w:pPr>
        <w:spacing w:after="0" w:line="360" w:lineRule="auto"/>
        <w:ind w:firstLine="2880" w:firstLineChars="1200"/>
        <w:jc w:val="both"/>
        <w:rPr>
          <w:rFonts w:ascii="Arial" w:hAnsi="Arial" w:eastAsia="SimSun" w:cs="Arial"/>
          <w:b/>
          <w:sz w:val="24"/>
          <w:szCs w:val="24"/>
          <w:lang w:eastAsia="pt-BR"/>
        </w:rPr>
      </w:pPr>
      <w:r>
        <w:rPr>
          <w:rFonts w:ascii="Arial" w:hAnsi="Arial" w:eastAsia="SimSun" w:cs="Arial"/>
          <w:sz w:val="24"/>
          <w:szCs w:val="24"/>
          <w:lang w:eastAsia="pt-BR"/>
        </w:rPr>
        <w:t xml:space="preserve">Santa Maria de Jetibá/ES, </w:t>
      </w:r>
      <w:r>
        <w:rPr>
          <w:rFonts w:hint="default" w:ascii="Arial" w:hAnsi="Arial" w:eastAsia="SimSun" w:cs="Arial"/>
          <w:sz w:val="24"/>
          <w:szCs w:val="24"/>
          <w:lang w:val="en-US" w:eastAsia="pt-BR"/>
        </w:rPr>
        <w:t>29</w:t>
      </w:r>
      <w:r>
        <w:rPr>
          <w:rFonts w:ascii="Arial" w:hAnsi="Arial" w:eastAsia="SimSun" w:cs="Arial"/>
          <w:sz w:val="24"/>
          <w:szCs w:val="24"/>
          <w:lang w:eastAsia="pt-BR"/>
        </w:rPr>
        <w:t xml:space="preserve"> de </w:t>
      </w:r>
      <w:r>
        <w:rPr>
          <w:rFonts w:hint="default" w:ascii="Arial" w:hAnsi="Arial" w:eastAsia="SimSun" w:cs="Arial"/>
          <w:sz w:val="24"/>
          <w:szCs w:val="24"/>
          <w:lang w:val="en-US" w:eastAsia="pt-BR"/>
        </w:rPr>
        <w:t>Març</w:t>
      </w:r>
      <w:r>
        <w:rPr>
          <w:rFonts w:ascii="Arial" w:hAnsi="Arial" w:eastAsia="SimSun" w:cs="Arial"/>
          <w:sz w:val="24"/>
          <w:szCs w:val="24"/>
          <w:lang w:eastAsia="pt-BR"/>
        </w:rPr>
        <w:t>o de 202</w:t>
      </w:r>
      <w:r>
        <w:rPr>
          <w:rFonts w:hint="default" w:ascii="Arial" w:hAnsi="Arial" w:eastAsia="SimSun" w:cs="Arial"/>
          <w:sz w:val="24"/>
          <w:szCs w:val="24"/>
          <w:lang w:val="en-US" w:eastAsia="pt-BR"/>
        </w:rPr>
        <w:t>2</w:t>
      </w:r>
      <w:bookmarkStart w:id="0" w:name="_GoBack"/>
      <w:bookmarkEnd w:id="0"/>
      <w:r>
        <w:rPr>
          <w:rFonts w:ascii="Arial" w:hAnsi="Arial" w:eastAsia="SimSun" w:cs="Arial"/>
          <w:sz w:val="24"/>
          <w:szCs w:val="24"/>
          <w:lang w:eastAsia="pt-BR"/>
        </w:rPr>
        <w:t>.</w:t>
      </w:r>
    </w:p>
    <w:tbl>
      <w:tblPr>
        <w:tblStyle w:val="9"/>
        <w:tblpPr w:leftFromText="180" w:rightFromText="180" w:vertAnchor="text" w:horzAnchor="page" w:tblpX="1582" w:tblpY="281"/>
        <w:tblOverlap w:val="never"/>
        <w:tblW w:w="87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60"/>
        <w:gridCol w:w="43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60" w:type="dxa"/>
            <w:tcBorders>
              <w:tl2br w:val="nil"/>
              <w:tr2bl w:val="nil"/>
            </w:tcBorders>
          </w:tcPr>
          <w:p>
            <w:pPr>
              <w:spacing w:line="360" w:lineRule="auto"/>
              <w:jc w:val="center"/>
              <w:rPr>
                <w:rFonts w:ascii="Arial" w:hAnsi="Arial" w:cs="Arial"/>
                <w:b/>
                <w:bCs/>
                <w:sz w:val="24"/>
                <w:szCs w:val="24"/>
              </w:rPr>
            </w:pPr>
            <w:r>
              <w:rPr>
                <w:rFonts w:hint="default" w:ascii="Arial" w:hAnsi="Arial" w:cs="Arial"/>
                <w:b/>
                <w:bCs/>
                <w:sz w:val="24"/>
                <w:szCs w:val="24"/>
                <w:highlight w:val="none"/>
                <w:lang w:val="pt-BR"/>
              </w:rPr>
              <w:t>Clysteres de Freitas</w:t>
            </w:r>
          </w:p>
          <w:p>
            <w:pPr>
              <w:spacing w:line="240" w:lineRule="auto"/>
              <w:jc w:val="center"/>
              <w:rPr>
                <w:rFonts w:ascii="Arial" w:hAnsi="Arial" w:cs="Arial"/>
                <w:sz w:val="24"/>
                <w:szCs w:val="24"/>
              </w:rPr>
            </w:pPr>
            <w:r>
              <w:rPr>
                <w:rFonts w:ascii="Arial" w:hAnsi="Arial" w:cs="Arial"/>
                <w:sz w:val="24"/>
                <w:szCs w:val="24"/>
              </w:rPr>
              <w:t>FISCAL DE CONTRATO</w:t>
            </w:r>
          </w:p>
          <w:p>
            <w:pPr>
              <w:spacing w:line="240" w:lineRule="auto"/>
              <w:jc w:val="center"/>
              <w:rPr>
                <w:rFonts w:ascii="Arial" w:hAnsi="Arial" w:cs="Arial"/>
                <w:sz w:val="24"/>
                <w:szCs w:val="24"/>
              </w:rPr>
            </w:pPr>
            <w:r>
              <w:rPr>
                <w:rFonts w:ascii="Arial" w:hAnsi="Arial" w:cs="Arial"/>
                <w:sz w:val="24"/>
                <w:szCs w:val="24"/>
              </w:rPr>
              <w:t>SUBSTITUTO</w:t>
            </w:r>
          </w:p>
        </w:tc>
        <w:tc>
          <w:tcPr>
            <w:tcW w:w="4358" w:type="dxa"/>
            <w:tcBorders>
              <w:tl2br w:val="nil"/>
              <w:tr2bl w:val="nil"/>
            </w:tcBorders>
          </w:tcPr>
          <w:p>
            <w:pPr>
              <w:spacing w:line="360" w:lineRule="auto"/>
              <w:jc w:val="center"/>
              <w:rPr>
                <w:rFonts w:hint="default" w:ascii="Arial" w:hAnsi="Arial" w:cs="Arial"/>
                <w:b/>
                <w:bCs/>
                <w:sz w:val="24"/>
                <w:szCs w:val="24"/>
                <w:lang w:val="pt-BR"/>
              </w:rPr>
            </w:pPr>
            <w:r>
              <w:rPr>
                <w:rFonts w:hint="default" w:ascii="Arial" w:hAnsi="Arial" w:cs="Arial"/>
                <w:b/>
                <w:bCs/>
                <w:sz w:val="24"/>
                <w:szCs w:val="24"/>
                <w:lang w:val="pt-BR"/>
              </w:rPr>
              <w:t>W</w:t>
            </w:r>
            <w:r>
              <w:rPr>
                <w:rFonts w:hint="default" w:ascii="Arial" w:hAnsi="Arial"/>
                <w:b/>
                <w:bCs/>
                <w:sz w:val="24"/>
                <w:szCs w:val="24"/>
                <w:highlight w:val="none"/>
              </w:rPr>
              <w:t xml:space="preserve">illian </w:t>
            </w:r>
            <w:r>
              <w:rPr>
                <w:rFonts w:hint="default" w:ascii="Arial" w:hAnsi="Arial"/>
                <w:b/>
                <w:bCs/>
                <w:sz w:val="24"/>
                <w:szCs w:val="24"/>
                <w:highlight w:val="none"/>
                <w:lang w:val="pt-BR"/>
              </w:rPr>
              <w:t>C</w:t>
            </w:r>
            <w:r>
              <w:rPr>
                <w:rFonts w:hint="default" w:ascii="Arial" w:hAnsi="Arial"/>
                <w:b/>
                <w:bCs/>
                <w:sz w:val="24"/>
                <w:szCs w:val="24"/>
                <w:highlight w:val="none"/>
              </w:rPr>
              <w:t xml:space="preserve">esar </w:t>
            </w:r>
            <w:r>
              <w:rPr>
                <w:rFonts w:hint="default" w:ascii="Arial" w:hAnsi="Arial"/>
                <w:b/>
                <w:bCs/>
                <w:sz w:val="24"/>
                <w:szCs w:val="24"/>
                <w:highlight w:val="none"/>
                <w:lang w:val="pt-BR"/>
              </w:rPr>
              <w:t>C</w:t>
            </w:r>
            <w:r>
              <w:rPr>
                <w:rFonts w:hint="default" w:ascii="Arial" w:hAnsi="Arial"/>
                <w:b/>
                <w:bCs/>
                <w:sz w:val="24"/>
                <w:szCs w:val="24"/>
                <w:highlight w:val="none"/>
              </w:rPr>
              <w:t>iurlleti</w:t>
            </w:r>
          </w:p>
          <w:p>
            <w:pPr>
              <w:spacing w:line="360" w:lineRule="auto"/>
              <w:jc w:val="center"/>
              <w:rPr>
                <w:rFonts w:ascii="Arial" w:hAnsi="Arial" w:cs="Arial"/>
                <w:sz w:val="24"/>
                <w:szCs w:val="24"/>
              </w:rPr>
            </w:pPr>
            <w:r>
              <w:rPr>
                <w:rFonts w:ascii="Arial" w:hAnsi="Arial" w:cs="Arial"/>
                <w:sz w:val="24"/>
                <w:szCs w:val="24"/>
              </w:rPr>
              <w:t>FISCAL DE CONTRATO</w:t>
            </w:r>
          </w:p>
        </w:tc>
      </w:tr>
    </w:tbl>
    <w:p>
      <w:pPr>
        <w:spacing w:after="0" w:line="240" w:lineRule="auto"/>
        <w:jc w:val="both"/>
        <w:rPr>
          <w:rFonts w:ascii="Arial" w:hAnsi="Arial" w:eastAsia="SimSun" w:cs="Arial"/>
          <w:b/>
          <w:sz w:val="24"/>
          <w:szCs w:val="24"/>
          <w:lang w:eastAsia="pt-BR"/>
        </w:rPr>
      </w:pPr>
    </w:p>
    <w:p>
      <w:pPr>
        <w:spacing w:after="0" w:line="240" w:lineRule="auto"/>
        <w:jc w:val="both"/>
        <w:rPr>
          <w:rFonts w:ascii="Arial" w:hAnsi="Arial" w:eastAsia="SimSun" w:cs="Arial"/>
          <w:b/>
          <w:sz w:val="24"/>
          <w:szCs w:val="24"/>
          <w:lang w:eastAsia="pt-BR"/>
        </w:rPr>
      </w:pPr>
    </w:p>
    <w:p>
      <w:pPr>
        <w:spacing w:after="0" w:line="240" w:lineRule="auto"/>
        <w:jc w:val="both"/>
        <w:rPr>
          <w:rFonts w:ascii="Arial" w:hAnsi="Arial" w:eastAsia="SimSun" w:cs="Arial"/>
          <w:b/>
          <w:sz w:val="24"/>
          <w:szCs w:val="24"/>
          <w:lang w:eastAsia="pt-BR"/>
        </w:rPr>
      </w:pPr>
    </w:p>
    <w:p>
      <w:pPr>
        <w:pStyle w:val="10"/>
        <w:spacing w:after="0" w:line="240" w:lineRule="auto"/>
        <w:ind w:left="0"/>
        <w:jc w:val="center"/>
        <w:rPr>
          <w:rFonts w:ascii="Arial" w:hAnsi="Arial" w:cs="Arial"/>
          <w:sz w:val="20"/>
          <w:szCs w:val="20"/>
        </w:rPr>
      </w:pPr>
      <w:r>
        <w:rPr>
          <w:rFonts w:ascii="Arial" w:hAnsi="Arial" w:cs="Arial"/>
          <w:sz w:val="20"/>
          <w:szCs w:val="20"/>
        </w:rPr>
        <w:t>______________________________________</w:t>
      </w:r>
    </w:p>
    <w:p>
      <w:pPr>
        <w:spacing w:after="0" w:line="240" w:lineRule="auto"/>
        <w:jc w:val="center"/>
        <w:rPr>
          <w:rFonts w:ascii="Arial" w:hAnsi="Arial" w:eastAsia="SimSun" w:cs="Arial"/>
          <w:sz w:val="24"/>
          <w:szCs w:val="24"/>
          <w:lang w:eastAsia="pt-BR"/>
        </w:rPr>
      </w:pPr>
      <w:r>
        <w:rPr>
          <w:rFonts w:hint="default" w:ascii="Arial" w:hAnsi="Arial" w:eastAsia="SimSun" w:cs="Arial"/>
          <w:sz w:val="24"/>
          <w:szCs w:val="24"/>
          <w:lang w:val="en-US" w:eastAsia="pt-BR"/>
        </w:rPr>
        <w:t xml:space="preserve"> </w:t>
      </w:r>
      <w:r>
        <w:rPr>
          <w:rFonts w:hint="default" w:ascii="Arial" w:hAnsi="Arial" w:eastAsia="SimSun"/>
          <w:sz w:val="24"/>
          <w:szCs w:val="24"/>
          <w:lang w:val="en-US" w:eastAsia="pt-BR"/>
        </w:rPr>
        <w:t>ZILDA MARIA KRAUSE PELLACANI</w:t>
      </w:r>
    </w:p>
    <w:p>
      <w:pPr>
        <w:spacing w:after="0" w:line="240" w:lineRule="auto"/>
        <w:jc w:val="center"/>
        <w:rPr>
          <w:rFonts w:hint="default" w:ascii="Arial" w:hAnsi="Arial" w:eastAsia="SimSun" w:cs="Arial"/>
          <w:sz w:val="24"/>
          <w:szCs w:val="24"/>
          <w:lang w:val="en-US" w:eastAsia="pt-BR"/>
        </w:rPr>
      </w:pPr>
      <w:r>
        <w:rPr>
          <w:rFonts w:ascii="Arial" w:hAnsi="Arial" w:eastAsia="SimSun" w:cs="Arial"/>
          <w:sz w:val="24"/>
          <w:szCs w:val="24"/>
          <w:lang w:eastAsia="pt-BR"/>
        </w:rPr>
        <w:t>Secretári</w:t>
      </w:r>
      <w:r>
        <w:rPr>
          <w:rFonts w:hint="default" w:ascii="Arial" w:hAnsi="Arial" w:eastAsia="SimSun" w:cs="Arial"/>
          <w:sz w:val="24"/>
          <w:szCs w:val="24"/>
          <w:lang w:val="en-US" w:eastAsia="pt-BR"/>
        </w:rPr>
        <w:t>a de Gabinete</w:t>
      </w:r>
    </w:p>
    <w:sectPr>
      <w:headerReference r:id="rId5" w:type="default"/>
      <w:footerReference r:id="rId6" w:type="default"/>
      <w:pgSz w:w="11906" w:h="16838"/>
      <w:pgMar w:top="1936" w:right="1701" w:bottom="1417" w:left="1701" w:header="708" w:footer="70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LiberationSerif-Bold">
    <w:altName w:val="AMGDT"/>
    <w:panose1 w:val="00000000000000000000"/>
    <w:charset w:val="00"/>
    <w:family w:val="auto"/>
    <w:pitch w:val="default"/>
    <w:sig w:usb0="00000000" w:usb1="00000000" w:usb2="00000000" w:usb3="00000000" w:csb0="00000001" w:csb1="00000000"/>
  </w:font>
  <w:font w:name="AMGDT">
    <w:panose1 w:val="02000400000000000000"/>
    <w:charset w:val="00"/>
    <w:family w:val="auto"/>
    <w:pitch w:val="default"/>
    <w:sig w:usb0="80000003" w:usb1="1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Wingdings">
    <w:panose1 w:val="05000000000000000000"/>
    <w:charset w:val="02"/>
    <w:family w:val="auto"/>
    <w:pitch w:val="default"/>
    <w:sig w:usb0="00000000" w:usb1="00000000" w:usb2="00000000" w:usb3="00000000" w:csb0="80000000" w:csb1="00000000"/>
  </w:font>
  <w:font w:name="Old English Text MT">
    <w:altName w:val="Mongolian Baiti"/>
    <w:panose1 w:val="03040902040508030806"/>
    <w:charset w:val="00"/>
    <w:family w:val="script"/>
    <w:pitch w:val="default"/>
    <w:sig w:usb0="00000000" w:usb1="00000000" w:usb2="00000000" w:usb3="00000000" w:csb0="00000001" w:csb1="0000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Caixa de Texto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vdURiACAABa&#10;BAAADgAAAAAAAAABACAAAAAfAQAAZHJzL2Uyb0RvYy54bWxQSwUGAAAAAAYABgBZAQAAs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Old English Text MT" w:hAnsi="Old English Text MT"/>
        <w:b/>
        <w:sz w:val="36"/>
        <w:szCs w:val="36"/>
      </w:rPr>
    </w:pPr>
    <w:r>
      <w:rPr>
        <w:rFonts w:ascii="Old English Text MT" w:hAnsi="Old English Text MT"/>
        <w:b/>
        <w:sz w:val="36"/>
        <w:szCs w:val="36"/>
      </w:rPr>
      <w:t>Prefeitura Municipal de Santa Maria de Jetibá</w:t>
    </w:r>
  </w:p>
  <w:p>
    <w:pPr>
      <w:pStyle w:val="6"/>
      <w:jc w:val="center"/>
      <w:rPr>
        <w:rFonts w:ascii="Old English Text MT" w:hAnsi="Old English Text MT"/>
        <w:b/>
        <w:sz w:val="36"/>
        <w:szCs w:val="36"/>
      </w:rPr>
    </w:pPr>
    <w:r>
      <w:rPr>
        <w:rFonts w:ascii="Old English Text MT" w:hAnsi="Old English Text MT" w:cs="Old English Text MT"/>
        <w:b/>
        <w:bCs/>
      </w:rPr>
      <w:drawing>
        <wp:anchor distT="0" distB="0" distL="114300" distR="114300" simplePos="0" relativeHeight="251659264" behindDoc="0" locked="0" layoutInCell="1" allowOverlap="1">
          <wp:simplePos x="0" y="0"/>
          <wp:positionH relativeFrom="column">
            <wp:posOffset>-293370</wp:posOffset>
          </wp:positionH>
          <wp:positionV relativeFrom="paragraph">
            <wp:posOffset>-434975</wp:posOffset>
          </wp:positionV>
          <wp:extent cx="734695" cy="977900"/>
          <wp:effectExtent l="0" t="0" r="8255" b="12700"/>
          <wp:wrapSquare wrapText="bothSides"/>
          <wp:docPr id="7" name="Imagem 1026" descr="brasao d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1026" descr="brasao duda"/>
                  <pic:cNvPicPr>
                    <a:picLocks noChangeAspect="1"/>
                  </pic:cNvPicPr>
                </pic:nvPicPr>
                <pic:blipFill>
                  <a:blip r:embed="rId1"/>
                  <a:stretch>
                    <a:fillRect/>
                  </a:stretch>
                </pic:blipFill>
                <pic:spPr>
                  <a:xfrm>
                    <a:off x="0" y="0"/>
                    <a:ext cx="734695" cy="977900"/>
                  </a:xfrm>
                  <a:prstGeom prst="rect">
                    <a:avLst/>
                  </a:prstGeom>
                  <a:noFill/>
                  <a:ln w="9525">
                    <a:noFill/>
                  </a:ln>
                </pic:spPr>
              </pic:pic>
            </a:graphicData>
          </a:graphic>
        </wp:anchor>
      </w:drawing>
    </w:r>
    <w:r>
      <w:rPr>
        <w:rFonts w:ascii="Old English Text MT" w:hAnsi="Old English Text MT"/>
        <w:b/>
        <w:sz w:val="36"/>
        <w:szCs w:val="36"/>
      </w:rPr>
      <w:t>Estado do Espírito Santo</w:t>
    </w:r>
  </w:p>
  <w:p>
    <w:pPr>
      <w:pStyle w:val="6"/>
    </w:pPr>
  </w:p>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112E73"/>
    <w:multiLevelType w:val="singleLevel"/>
    <w:tmpl w:val="E9112E73"/>
    <w:lvl w:ilvl="0" w:tentative="0">
      <w:start w:val="1"/>
      <w:numFmt w:val="lowerLetter"/>
      <w:suff w:val="space"/>
      <w:lvlText w:val="%1)"/>
      <w:lvlJc w:val="left"/>
    </w:lvl>
  </w:abstractNum>
  <w:abstractNum w:abstractNumId="1">
    <w:nsid w:val="52D21A59"/>
    <w:multiLevelType w:val="multilevel"/>
    <w:tmpl w:val="52D21A59"/>
    <w:lvl w:ilvl="0" w:tentative="0">
      <w:start w:val="1"/>
      <w:numFmt w:val="decimal"/>
      <w:lvlText w:val="%1."/>
      <w:lvlJc w:val="left"/>
      <w:pPr>
        <w:ind w:left="644"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947C498"/>
    <w:multiLevelType w:val="singleLevel"/>
    <w:tmpl w:val="5947C498"/>
    <w:lvl w:ilvl="0" w:tentative="0">
      <w:start w:val="1"/>
      <w:numFmt w:val="bullet"/>
      <w:lvlText w:val=""/>
      <w:lvlJc w:val="left"/>
      <w:pPr>
        <w:ind w:left="420" w:hanging="420"/>
      </w:pPr>
      <w:rPr>
        <w:rFonts w:hint="default" w:ascii="Wingdings" w:hAnsi="Wingdings"/>
      </w:rPr>
    </w:lvl>
  </w:abstractNum>
  <w:abstractNum w:abstractNumId="3">
    <w:nsid w:val="7426B8CF"/>
    <w:multiLevelType w:val="singleLevel"/>
    <w:tmpl w:val="7426B8CF"/>
    <w:lvl w:ilvl="0" w:tentative="0">
      <w:start w:val="1"/>
      <w:numFmt w:val="lowerLetter"/>
      <w:suff w:val="space"/>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FF5"/>
    <w:rsid w:val="00011D37"/>
    <w:rsid w:val="00074FF5"/>
    <w:rsid w:val="0007677C"/>
    <w:rsid w:val="000933F9"/>
    <w:rsid w:val="001018B0"/>
    <w:rsid w:val="001D0D0E"/>
    <w:rsid w:val="00233B19"/>
    <w:rsid w:val="002348CB"/>
    <w:rsid w:val="0027577D"/>
    <w:rsid w:val="002A1C04"/>
    <w:rsid w:val="002B024D"/>
    <w:rsid w:val="00330C85"/>
    <w:rsid w:val="00344D50"/>
    <w:rsid w:val="0035634E"/>
    <w:rsid w:val="00370725"/>
    <w:rsid w:val="00387B57"/>
    <w:rsid w:val="00403264"/>
    <w:rsid w:val="00427957"/>
    <w:rsid w:val="004424FF"/>
    <w:rsid w:val="004431B8"/>
    <w:rsid w:val="00452E11"/>
    <w:rsid w:val="00452F56"/>
    <w:rsid w:val="004968BF"/>
    <w:rsid w:val="004C6E70"/>
    <w:rsid w:val="004D1286"/>
    <w:rsid w:val="004E60A7"/>
    <w:rsid w:val="00505E74"/>
    <w:rsid w:val="00535B79"/>
    <w:rsid w:val="00562FB9"/>
    <w:rsid w:val="00574330"/>
    <w:rsid w:val="005912C9"/>
    <w:rsid w:val="00726544"/>
    <w:rsid w:val="0073505B"/>
    <w:rsid w:val="007848AB"/>
    <w:rsid w:val="00802B03"/>
    <w:rsid w:val="00884166"/>
    <w:rsid w:val="00884864"/>
    <w:rsid w:val="008A3A74"/>
    <w:rsid w:val="00984E5F"/>
    <w:rsid w:val="009F0E49"/>
    <w:rsid w:val="00A03A96"/>
    <w:rsid w:val="00A301D6"/>
    <w:rsid w:val="00A3289B"/>
    <w:rsid w:val="00A50181"/>
    <w:rsid w:val="00A949E4"/>
    <w:rsid w:val="00B244C3"/>
    <w:rsid w:val="00B702A2"/>
    <w:rsid w:val="00BB09AE"/>
    <w:rsid w:val="00BB1C56"/>
    <w:rsid w:val="00BC5A19"/>
    <w:rsid w:val="00BE2AFE"/>
    <w:rsid w:val="00BE6F41"/>
    <w:rsid w:val="00BF61F4"/>
    <w:rsid w:val="00C43C51"/>
    <w:rsid w:val="00C52C2B"/>
    <w:rsid w:val="00D15AD7"/>
    <w:rsid w:val="00D44A44"/>
    <w:rsid w:val="00D91B08"/>
    <w:rsid w:val="00DA695B"/>
    <w:rsid w:val="00DE0DF9"/>
    <w:rsid w:val="00E31870"/>
    <w:rsid w:val="00E43E72"/>
    <w:rsid w:val="00E5576C"/>
    <w:rsid w:val="00E606AA"/>
    <w:rsid w:val="00E77B2D"/>
    <w:rsid w:val="00EF714C"/>
    <w:rsid w:val="00F57A4B"/>
    <w:rsid w:val="00FE108D"/>
    <w:rsid w:val="02D81F30"/>
    <w:rsid w:val="03030CF9"/>
    <w:rsid w:val="043C1A87"/>
    <w:rsid w:val="044D14AF"/>
    <w:rsid w:val="063A3C14"/>
    <w:rsid w:val="073158D1"/>
    <w:rsid w:val="08712BB3"/>
    <w:rsid w:val="08BC0220"/>
    <w:rsid w:val="08E969BD"/>
    <w:rsid w:val="09CE7E7B"/>
    <w:rsid w:val="0A3922AD"/>
    <w:rsid w:val="0B25305C"/>
    <w:rsid w:val="0B6C3C06"/>
    <w:rsid w:val="0BB00ADA"/>
    <w:rsid w:val="0C3B4E67"/>
    <w:rsid w:val="0E26719B"/>
    <w:rsid w:val="1494499A"/>
    <w:rsid w:val="15322433"/>
    <w:rsid w:val="1549642C"/>
    <w:rsid w:val="166D4CA3"/>
    <w:rsid w:val="17FE5812"/>
    <w:rsid w:val="191B185D"/>
    <w:rsid w:val="1A7E2677"/>
    <w:rsid w:val="1B0732C8"/>
    <w:rsid w:val="1CEE4A04"/>
    <w:rsid w:val="1E183C03"/>
    <w:rsid w:val="1E4550E8"/>
    <w:rsid w:val="1E570BB1"/>
    <w:rsid w:val="1F3A0E4C"/>
    <w:rsid w:val="1F624C11"/>
    <w:rsid w:val="21273EB2"/>
    <w:rsid w:val="2283223E"/>
    <w:rsid w:val="24F56F1D"/>
    <w:rsid w:val="277C2B81"/>
    <w:rsid w:val="2AC97815"/>
    <w:rsid w:val="2EEC52E4"/>
    <w:rsid w:val="309000FC"/>
    <w:rsid w:val="338F3458"/>
    <w:rsid w:val="33FA5D62"/>
    <w:rsid w:val="34442B85"/>
    <w:rsid w:val="350548AA"/>
    <w:rsid w:val="37920628"/>
    <w:rsid w:val="37D534A3"/>
    <w:rsid w:val="389270C4"/>
    <w:rsid w:val="391854AA"/>
    <w:rsid w:val="39C844F3"/>
    <w:rsid w:val="3A891D0F"/>
    <w:rsid w:val="3C4C6285"/>
    <w:rsid w:val="3DBA6254"/>
    <w:rsid w:val="3E2C36B1"/>
    <w:rsid w:val="3EC332BA"/>
    <w:rsid w:val="438E1DA6"/>
    <w:rsid w:val="448D1765"/>
    <w:rsid w:val="469C57B8"/>
    <w:rsid w:val="47E47368"/>
    <w:rsid w:val="488B20B4"/>
    <w:rsid w:val="49976737"/>
    <w:rsid w:val="4C237136"/>
    <w:rsid w:val="4DDE3FCE"/>
    <w:rsid w:val="4E297823"/>
    <w:rsid w:val="4E744E66"/>
    <w:rsid w:val="53212169"/>
    <w:rsid w:val="53703DE4"/>
    <w:rsid w:val="53E21FCA"/>
    <w:rsid w:val="56405C6A"/>
    <w:rsid w:val="57652639"/>
    <w:rsid w:val="57C06767"/>
    <w:rsid w:val="5AC5569D"/>
    <w:rsid w:val="5CFD734D"/>
    <w:rsid w:val="5DF24EE4"/>
    <w:rsid w:val="601B4D29"/>
    <w:rsid w:val="60595D61"/>
    <w:rsid w:val="608B3DD8"/>
    <w:rsid w:val="62F451D7"/>
    <w:rsid w:val="63592CD0"/>
    <w:rsid w:val="64214592"/>
    <w:rsid w:val="64532103"/>
    <w:rsid w:val="645D3EED"/>
    <w:rsid w:val="646041DA"/>
    <w:rsid w:val="65943B04"/>
    <w:rsid w:val="698F405A"/>
    <w:rsid w:val="6A043481"/>
    <w:rsid w:val="6BBE10FB"/>
    <w:rsid w:val="6DFF4199"/>
    <w:rsid w:val="70E80505"/>
    <w:rsid w:val="713031B0"/>
    <w:rsid w:val="726629A5"/>
    <w:rsid w:val="7491642B"/>
    <w:rsid w:val="76721F54"/>
    <w:rsid w:val="771928F9"/>
    <w:rsid w:val="78BF105B"/>
    <w:rsid w:val="7B7B63E0"/>
    <w:rsid w:val="7C436AB4"/>
    <w:rsid w:val="7D457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Calibri" w:cs="Times New Roman"/>
      <w:sz w:val="22"/>
      <w:szCs w:val="22"/>
      <w:lang w:val="pt-B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basedOn w:val="2"/>
    <w:qFormat/>
    <w:uiPriority w:val="20"/>
    <w:rPr>
      <w:i/>
      <w:iCs/>
    </w:rPr>
  </w:style>
  <w:style w:type="paragraph" w:styleId="5">
    <w:name w:val="Normal (Web)"/>
    <w:basedOn w:val="1"/>
    <w:unhideWhenUsed/>
    <w:qFormat/>
    <w:uiPriority w:val="99"/>
    <w:pPr>
      <w:spacing w:before="100" w:beforeAutospacing="1" w:after="100" w:afterAutospacing="1" w:line="240" w:lineRule="auto"/>
    </w:pPr>
    <w:rPr>
      <w:rFonts w:ascii="Times New Roman" w:hAnsi="Times New Roman" w:eastAsia="Times New Roman"/>
      <w:sz w:val="24"/>
      <w:szCs w:val="24"/>
      <w:lang w:eastAsia="pt-BR"/>
    </w:rPr>
  </w:style>
  <w:style w:type="paragraph" w:styleId="6">
    <w:name w:val="header"/>
    <w:basedOn w:val="1"/>
    <w:link w:val="12"/>
    <w:unhideWhenUsed/>
    <w:qFormat/>
    <w:uiPriority w:val="0"/>
    <w:pPr>
      <w:tabs>
        <w:tab w:val="center" w:pos="4252"/>
        <w:tab w:val="right" w:pos="8504"/>
      </w:tabs>
      <w:spacing w:after="0" w:line="240" w:lineRule="auto"/>
    </w:pPr>
  </w:style>
  <w:style w:type="paragraph" w:styleId="7">
    <w:name w:val="footer"/>
    <w:basedOn w:val="1"/>
    <w:link w:val="13"/>
    <w:unhideWhenUsed/>
    <w:qFormat/>
    <w:uiPriority w:val="99"/>
    <w:pPr>
      <w:tabs>
        <w:tab w:val="center" w:pos="4252"/>
        <w:tab w:val="right" w:pos="8504"/>
      </w:tabs>
      <w:spacing w:after="0" w:line="240" w:lineRule="auto"/>
    </w:pPr>
  </w:style>
  <w:style w:type="paragraph" w:styleId="8">
    <w:name w:val="Balloon Text"/>
    <w:basedOn w:val="1"/>
    <w:link w:val="15"/>
    <w:unhideWhenUsed/>
    <w:qFormat/>
    <w:uiPriority w:val="99"/>
    <w:pPr>
      <w:spacing w:after="0" w:line="240" w:lineRule="auto"/>
    </w:pPr>
    <w:rPr>
      <w:rFonts w:ascii="Tahoma" w:hAnsi="Tahoma" w:cs="Tahoma"/>
      <w:sz w:val="16"/>
      <w:szCs w:val="16"/>
    </w:rPr>
  </w:style>
  <w:style w:type="table" w:styleId="9">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Parágrafo da Lista1"/>
    <w:basedOn w:val="1"/>
    <w:qFormat/>
    <w:uiPriority w:val="34"/>
    <w:pPr>
      <w:ind w:left="720"/>
      <w:contextualSpacing/>
    </w:pPr>
  </w:style>
  <w:style w:type="paragraph" w:customStyle="1" w:styleId="11">
    <w:name w:val="Sem Espaçamento1"/>
    <w:qFormat/>
    <w:uiPriority w:val="1"/>
    <w:rPr>
      <w:rFonts w:ascii="Calibri" w:hAnsi="Calibri" w:eastAsia="Calibri" w:cs="Times New Roman"/>
      <w:sz w:val="22"/>
      <w:szCs w:val="22"/>
      <w:lang w:val="pt-BR" w:eastAsia="en-US" w:bidi="ar-SA"/>
    </w:rPr>
  </w:style>
  <w:style w:type="character" w:customStyle="1" w:styleId="12">
    <w:name w:val="Cabeçalho Char"/>
    <w:basedOn w:val="2"/>
    <w:link w:val="6"/>
    <w:qFormat/>
    <w:uiPriority w:val="99"/>
  </w:style>
  <w:style w:type="character" w:customStyle="1" w:styleId="13">
    <w:name w:val="Rodapé Char"/>
    <w:basedOn w:val="2"/>
    <w:link w:val="7"/>
    <w:qFormat/>
    <w:uiPriority w:val="99"/>
  </w:style>
  <w:style w:type="character" w:customStyle="1" w:styleId="14">
    <w:name w:val="apple-converted-space"/>
    <w:basedOn w:val="2"/>
    <w:qFormat/>
    <w:uiPriority w:val="0"/>
  </w:style>
  <w:style w:type="character" w:customStyle="1" w:styleId="15">
    <w:name w:val="Texto de balão Char"/>
    <w:basedOn w:val="2"/>
    <w:link w:val="8"/>
    <w:semiHidden/>
    <w:qFormat/>
    <w:uiPriority w:val="99"/>
    <w:rPr>
      <w:rFonts w:ascii="Tahoma" w:hAnsi="Tahoma" w:cs="Tahoma"/>
      <w:sz w:val="16"/>
      <w:szCs w:val="16"/>
    </w:rPr>
  </w:style>
  <w:style w:type="paragraph" w:styleId="16">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2481</Words>
  <Characters>13398</Characters>
  <Lines>111</Lines>
  <Paragraphs>31</Paragraphs>
  <TotalTime>74</TotalTime>
  <ScaleCrop>false</ScaleCrop>
  <LinksUpToDate>false</LinksUpToDate>
  <CharactersWithSpaces>15848</CharactersWithSpaces>
  <Application>WPS Office_11.2.0.11042_F1E327BC-269C-435d-A152-05C5408002CA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2016-07-15T13:19:00Z</dcterms:created>
  <dc:creator>Rosilania Acher</dc:creator>
  <cp:lastModifiedBy>pedro.pereira</cp:lastModifiedBy>
  <cp:lastPrinted>2022-06-23T16:33:42Z</cp:lastPrinted>
  <dcterms:modified xsi:type="dcterms:W3CDTF">2022-06-23T17:33:42Z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1046-11.2.0.11042</vt:lpwstr>
  </property>
  <property fmtid="{D5CDD505-2E9C-101B-9397-08002B2CF9AE}" pid="3" name="ICV">
    <vt:lpwstr>6AC710A7A5654E42A9C3C82727547EF5</vt:lpwstr>
  </property>
</Properties>
</file>